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word/diagrams/quickStyle1.xml" ContentType="application/vnd.openxmlformats-officedocument.drawingml.diagramStyle+xml"/>
  <Override PartName="/word/theme/themeOverride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diagrams/drawing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E71" w:rsidRPr="00A11646" w:rsidRDefault="00DC1E71" w:rsidP="00DC1E71">
      <w:pPr>
        <w:spacing w:after="0" w:line="240" w:lineRule="auto"/>
        <w:jc w:val="center"/>
        <w:rPr>
          <w:rFonts w:ascii="Times New Roman" w:hAnsi="Times New Roman"/>
          <w:sz w:val="28"/>
          <w:szCs w:val="28"/>
        </w:rPr>
      </w:pPr>
      <w:r w:rsidRPr="00A11646">
        <w:rPr>
          <w:rFonts w:ascii="Times New Roman" w:hAnsi="Times New Roman"/>
          <w:sz w:val="28"/>
          <w:szCs w:val="28"/>
        </w:rPr>
        <w:t>МИНИСТЕРСТВО ЗДРАВООХРАНЕНИЯ РЕСПУБЛИКИ УЗБЕКИСТАН</w:t>
      </w:r>
    </w:p>
    <w:p w:rsidR="00DC1E71" w:rsidRPr="00A11646" w:rsidRDefault="00DC1E71" w:rsidP="00DC1E71">
      <w:pPr>
        <w:spacing w:after="0" w:line="240" w:lineRule="auto"/>
        <w:jc w:val="center"/>
        <w:rPr>
          <w:rFonts w:ascii="Times New Roman" w:hAnsi="Times New Roman"/>
          <w:sz w:val="12"/>
          <w:szCs w:val="12"/>
        </w:rPr>
      </w:pPr>
    </w:p>
    <w:p w:rsidR="00DC1E71" w:rsidRPr="00A11646" w:rsidRDefault="005A7D83" w:rsidP="00DC1E71">
      <w:pPr>
        <w:spacing w:after="0" w:line="240" w:lineRule="auto"/>
        <w:jc w:val="center"/>
        <w:rPr>
          <w:rFonts w:ascii="Times New Roman" w:hAnsi="Times New Roman"/>
          <w:sz w:val="160"/>
          <w:szCs w:val="160"/>
        </w:rPr>
      </w:pPr>
      <w:r w:rsidRPr="00A11646">
        <w:rPr>
          <w:rFonts w:ascii="Times New Roman" w:hAnsi="Times New Roman"/>
          <w:sz w:val="28"/>
          <w:szCs w:val="28"/>
        </w:rPr>
        <w:t>НАУЧНО-</w:t>
      </w:r>
      <w:r w:rsidR="00DC1E71" w:rsidRPr="00A11646">
        <w:rPr>
          <w:rFonts w:ascii="Times New Roman" w:hAnsi="Times New Roman"/>
          <w:sz w:val="28"/>
          <w:szCs w:val="28"/>
        </w:rPr>
        <w:t>ИССЛЕДОВАТЕЛЬСКИЙ ИНСТИТУТ ГЕМАТОЛОГИИ И ПЕРЕЛИВАНИЯ КРОВИ</w:t>
      </w:r>
      <w:r w:rsidR="00DC1E71" w:rsidRPr="00A11646">
        <w:rPr>
          <w:rFonts w:ascii="Times New Roman" w:hAnsi="Times New Roman"/>
          <w:sz w:val="28"/>
          <w:szCs w:val="28"/>
        </w:rPr>
        <w:br/>
      </w:r>
    </w:p>
    <w:p w:rsidR="00DC1E71" w:rsidRPr="00A11646" w:rsidRDefault="00DC1E71" w:rsidP="00DC1E71">
      <w:pPr>
        <w:spacing w:after="0" w:line="240" w:lineRule="auto"/>
        <w:jc w:val="right"/>
        <w:rPr>
          <w:rFonts w:ascii="Times New Roman" w:hAnsi="Times New Roman"/>
          <w:i/>
          <w:sz w:val="28"/>
          <w:szCs w:val="28"/>
        </w:rPr>
      </w:pPr>
      <w:r w:rsidRPr="00A11646">
        <w:rPr>
          <w:rFonts w:ascii="Times New Roman" w:hAnsi="Times New Roman"/>
          <w:i/>
          <w:sz w:val="28"/>
          <w:szCs w:val="28"/>
        </w:rPr>
        <w:t>На  правах рукописи</w:t>
      </w:r>
    </w:p>
    <w:p w:rsidR="00DC1E71" w:rsidRPr="00A11646" w:rsidRDefault="00DC1E71" w:rsidP="00DC1E71">
      <w:pPr>
        <w:spacing w:after="0" w:line="240" w:lineRule="auto"/>
        <w:jc w:val="right"/>
        <w:rPr>
          <w:rFonts w:ascii="Times New Roman" w:hAnsi="Times New Roman"/>
          <w:sz w:val="28"/>
          <w:szCs w:val="28"/>
        </w:rPr>
      </w:pPr>
      <w:r w:rsidRPr="00A11646">
        <w:rPr>
          <w:rFonts w:ascii="Times New Roman" w:hAnsi="Times New Roman"/>
          <w:sz w:val="28"/>
          <w:szCs w:val="28"/>
        </w:rPr>
        <w:t>УДК:</w:t>
      </w:r>
      <w:r w:rsidR="00A11646" w:rsidRPr="00A11646">
        <w:rPr>
          <w:rFonts w:ascii="Times New Roman" w:eastAsia="Times New Roman" w:hAnsi="Times New Roman"/>
          <w:sz w:val="28"/>
          <w:szCs w:val="28"/>
        </w:rPr>
        <w:t>616-006.448-031.81-085</w:t>
      </w:r>
    </w:p>
    <w:p w:rsidR="00DC1E71" w:rsidRPr="00A11646" w:rsidRDefault="00DC1E71" w:rsidP="00DC1E71">
      <w:pPr>
        <w:spacing w:after="0" w:line="240" w:lineRule="auto"/>
        <w:jc w:val="center"/>
        <w:rPr>
          <w:rFonts w:ascii="Times New Roman" w:hAnsi="Times New Roman"/>
          <w:sz w:val="160"/>
          <w:szCs w:val="160"/>
        </w:rPr>
      </w:pPr>
    </w:p>
    <w:p w:rsidR="00DC1E71" w:rsidRPr="00A11646" w:rsidRDefault="00067259" w:rsidP="00DC1E71">
      <w:pPr>
        <w:spacing w:after="0" w:line="240" w:lineRule="auto"/>
        <w:jc w:val="center"/>
        <w:rPr>
          <w:rFonts w:ascii="Times New Roman" w:hAnsi="Times New Roman"/>
          <w:sz w:val="28"/>
          <w:szCs w:val="28"/>
        </w:rPr>
      </w:pPr>
      <w:r w:rsidRPr="00A11646">
        <w:rPr>
          <w:rFonts w:ascii="Times New Roman" w:hAnsi="Times New Roman"/>
          <w:sz w:val="28"/>
          <w:szCs w:val="28"/>
        </w:rPr>
        <w:t>МАХАМАДАЛИЕВА</w:t>
      </w:r>
      <w:r w:rsidR="00DC1E71" w:rsidRPr="00A11646">
        <w:rPr>
          <w:rFonts w:ascii="Times New Roman" w:hAnsi="Times New Roman"/>
          <w:sz w:val="28"/>
          <w:szCs w:val="28"/>
        </w:rPr>
        <w:t xml:space="preserve"> ГУЛЧЕХРА ЗУХРИДДИНОВНА</w:t>
      </w:r>
    </w:p>
    <w:p w:rsidR="00DC1E71" w:rsidRPr="00A11646" w:rsidRDefault="00DC1E71" w:rsidP="00DC1E71">
      <w:pPr>
        <w:spacing w:after="0" w:line="240" w:lineRule="auto"/>
        <w:jc w:val="center"/>
        <w:rPr>
          <w:rFonts w:ascii="Times New Roman" w:hAnsi="Times New Roman"/>
          <w:sz w:val="100"/>
          <w:szCs w:val="100"/>
        </w:rPr>
      </w:pPr>
    </w:p>
    <w:p w:rsidR="00DC1E71" w:rsidRPr="00A11646" w:rsidRDefault="00DC1E71" w:rsidP="00DC1E71">
      <w:pPr>
        <w:spacing w:after="0" w:line="240" w:lineRule="auto"/>
        <w:jc w:val="center"/>
        <w:rPr>
          <w:rFonts w:ascii="Times New Roman" w:hAnsi="Times New Roman"/>
          <w:sz w:val="28"/>
          <w:szCs w:val="28"/>
        </w:rPr>
      </w:pPr>
      <w:r w:rsidRPr="00A11646">
        <w:rPr>
          <w:rFonts w:ascii="Times New Roman" w:hAnsi="Times New Roman"/>
          <w:sz w:val="32"/>
          <w:szCs w:val="32"/>
        </w:rPr>
        <w:t>ВЫСОКОТЕХНОЛОГИЧЕСКИЕ МЕТОДЫ ДИАГНОСТИКИ И ЛЕЧЕНИЯ МИЕЛОМНОЙ БОЛЕЗНИ</w:t>
      </w:r>
    </w:p>
    <w:p w:rsidR="00DC1E71" w:rsidRPr="00A11646" w:rsidRDefault="00DC1E71" w:rsidP="00DC1E71">
      <w:pPr>
        <w:spacing w:after="0" w:line="240" w:lineRule="auto"/>
        <w:jc w:val="center"/>
        <w:rPr>
          <w:rFonts w:ascii="Times New Roman" w:hAnsi="Times New Roman"/>
          <w:sz w:val="28"/>
          <w:szCs w:val="28"/>
        </w:rPr>
      </w:pPr>
    </w:p>
    <w:p w:rsidR="00DC1E71" w:rsidRPr="00A11646" w:rsidRDefault="00DC1E71" w:rsidP="00DC1E71">
      <w:pPr>
        <w:spacing w:after="0" w:line="240" w:lineRule="auto"/>
        <w:jc w:val="center"/>
        <w:rPr>
          <w:rFonts w:ascii="Times New Roman" w:hAnsi="Times New Roman"/>
          <w:sz w:val="100"/>
          <w:szCs w:val="100"/>
        </w:rPr>
      </w:pPr>
    </w:p>
    <w:p w:rsidR="00DC1E71" w:rsidRPr="00A11646" w:rsidRDefault="00DC1E71" w:rsidP="00DC1E71">
      <w:pPr>
        <w:spacing w:after="0" w:line="240" w:lineRule="auto"/>
        <w:jc w:val="center"/>
        <w:rPr>
          <w:rFonts w:ascii="Times New Roman" w:hAnsi="Times New Roman"/>
        </w:rPr>
      </w:pPr>
      <w:r w:rsidRPr="00A11646">
        <w:rPr>
          <w:rFonts w:ascii="Times New Roman" w:hAnsi="Times New Roman"/>
        </w:rPr>
        <w:t xml:space="preserve">14.00.29 – Гематология и трансфузиология </w:t>
      </w: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r w:rsidRPr="00A11646">
        <w:rPr>
          <w:rFonts w:ascii="Times New Roman" w:hAnsi="Times New Roman"/>
        </w:rPr>
        <w:t>ДИССЕРТАЦИЯ</w:t>
      </w:r>
    </w:p>
    <w:p w:rsidR="00DC1E71" w:rsidRPr="004C0D77" w:rsidRDefault="00DC1E71" w:rsidP="00DC1E71">
      <w:pPr>
        <w:spacing w:after="0" w:line="240" w:lineRule="auto"/>
        <w:jc w:val="center"/>
        <w:rPr>
          <w:rFonts w:ascii="Times New Roman" w:hAnsi="Times New Roman"/>
          <w:lang w:val="uz-Cyrl-UZ"/>
        </w:rPr>
      </w:pPr>
      <w:r w:rsidRPr="00A11646">
        <w:rPr>
          <w:rFonts w:ascii="Times New Roman" w:hAnsi="Times New Roman"/>
        </w:rPr>
        <w:t xml:space="preserve">на соискание ученой степени доктора </w:t>
      </w:r>
      <w:r w:rsidR="004C0D77">
        <w:rPr>
          <w:rFonts w:ascii="Times New Roman" w:hAnsi="Times New Roman"/>
          <w:lang w:val="uz-Cyrl-UZ"/>
        </w:rPr>
        <w:t>философии</w:t>
      </w:r>
      <w:r w:rsidRPr="00A11646">
        <w:rPr>
          <w:rFonts w:ascii="Times New Roman" w:hAnsi="Times New Roman"/>
        </w:rPr>
        <w:t xml:space="preserve"> (</w:t>
      </w:r>
      <w:r w:rsidRPr="00A11646">
        <w:rPr>
          <w:rFonts w:ascii="Times New Roman" w:hAnsi="Times New Roman"/>
          <w:lang w:val="en-US"/>
        </w:rPr>
        <w:t>PhD</w:t>
      </w:r>
      <w:r w:rsidRPr="00A11646">
        <w:rPr>
          <w:rFonts w:ascii="Times New Roman" w:hAnsi="Times New Roman"/>
        </w:rPr>
        <w:t>)</w:t>
      </w:r>
      <w:r w:rsidR="004C0D77">
        <w:rPr>
          <w:rFonts w:ascii="Times New Roman" w:hAnsi="Times New Roman"/>
          <w:lang w:val="uz-Cyrl-UZ"/>
        </w:rPr>
        <w:t xml:space="preserve"> по медицинским наукам</w:t>
      </w: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r w:rsidRPr="00A11646">
        <w:rPr>
          <w:rFonts w:ascii="Times New Roman" w:hAnsi="Times New Roman"/>
        </w:rPr>
        <w:t>Научный руководитель: д.м.н., проф. Х. Я. Каримов</w:t>
      </w: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DC1E71" w:rsidRPr="00A11646" w:rsidRDefault="00DC1E71" w:rsidP="00DC1E71">
      <w:pPr>
        <w:spacing w:after="0" w:line="240" w:lineRule="auto"/>
        <w:jc w:val="center"/>
        <w:rPr>
          <w:rFonts w:ascii="Times New Roman" w:hAnsi="Times New Roman"/>
        </w:rPr>
      </w:pPr>
    </w:p>
    <w:p w:rsidR="00061897" w:rsidRPr="00A11646" w:rsidRDefault="00DC1E71" w:rsidP="00DC1E71">
      <w:pPr>
        <w:spacing w:after="0" w:line="240" w:lineRule="auto"/>
        <w:jc w:val="center"/>
        <w:rPr>
          <w:rFonts w:ascii="Times New Roman" w:hAnsi="Times New Roman"/>
          <w:lang w:val="uz-Cyrl-UZ"/>
        </w:rPr>
      </w:pPr>
      <w:r w:rsidRPr="00A11646">
        <w:rPr>
          <w:rFonts w:ascii="Times New Roman" w:hAnsi="Times New Roman"/>
        </w:rPr>
        <w:t xml:space="preserve">ТАШКЕНТ </w:t>
      </w:r>
      <w:r w:rsidR="00D754DD" w:rsidRPr="00A11646">
        <w:rPr>
          <w:rFonts w:ascii="Times New Roman" w:hAnsi="Times New Roman"/>
        </w:rPr>
        <w:t>–</w:t>
      </w:r>
      <w:r w:rsidRPr="00A11646">
        <w:rPr>
          <w:rFonts w:ascii="Times New Roman" w:hAnsi="Times New Roman"/>
        </w:rPr>
        <w:t xml:space="preserve"> 201</w:t>
      </w:r>
      <w:r w:rsidR="00D754DD" w:rsidRPr="00A11646">
        <w:rPr>
          <w:rFonts w:ascii="Times New Roman" w:hAnsi="Times New Roman"/>
          <w:lang w:val="uz-Cyrl-UZ"/>
        </w:rPr>
        <w:t>9</w:t>
      </w:r>
    </w:p>
    <w:p w:rsidR="00D754DD" w:rsidRPr="00A11646" w:rsidRDefault="00D754DD" w:rsidP="00D754DD">
      <w:pPr>
        <w:spacing w:after="0"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lastRenderedPageBreak/>
        <w:t>ОГЛАВЛЕНИЕ</w:t>
      </w:r>
    </w:p>
    <w:p w:rsidR="00D754DD" w:rsidRPr="00A11646" w:rsidRDefault="00D754DD" w:rsidP="00D754DD">
      <w:pPr>
        <w:spacing w:after="0" w:line="360" w:lineRule="auto"/>
        <w:jc w:val="center"/>
        <w:rPr>
          <w:rFonts w:ascii="Times New Roman" w:eastAsia="Times New Roman" w:hAnsi="Times New Roman"/>
          <w:sz w:val="28"/>
          <w:szCs w:val="28"/>
        </w:rPr>
      </w:pPr>
    </w:p>
    <w:p w:rsidR="00D754DD" w:rsidRPr="00A11646" w:rsidRDefault="00D754DD" w:rsidP="00D754DD">
      <w:pPr>
        <w:autoSpaceDE w:val="0"/>
        <w:autoSpaceDN w:val="0"/>
        <w:adjustRightInd w:val="0"/>
        <w:spacing w:after="0" w:line="360" w:lineRule="auto"/>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Оглавление…………………………………………………………………….1</w:t>
      </w:r>
    </w:p>
    <w:p w:rsidR="00D754DD" w:rsidRPr="00A11646" w:rsidRDefault="00D754DD" w:rsidP="00D754DD">
      <w:pPr>
        <w:autoSpaceDE w:val="0"/>
        <w:autoSpaceDN w:val="0"/>
        <w:adjustRightInd w:val="0"/>
        <w:spacing w:after="0" w:line="360" w:lineRule="auto"/>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Список условных сокращений……………………………………………….2</w:t>
      </w:r>
    </w:p>
    <w:p w:rsidR="00D754DD" w:rsidRPr="00A11646" w:rsidRDefault="00D754DD" w:rsidP="00D754DD">
      <w:pPr>
        <w:autoSpaceDE w:val="0"/>
        <w:autoSpaceDN w:val="0"/>
        <w:adjustRightInd w:val="0"/>
        <w:spacing w:after="0" w:line="360" w:lineRule="auto"/>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Введение……………………………………………………………………… 10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ГЛАВА 1. ОБЗОР ЛИТЕРАТУРЫ. СОВРЕМЕННЫЕ ПРЕДСТАВЛЕНИЯ О МЕХАНИЗМАХ РАЗВИТИЯ И СОСТОЯНИ</w:t>
      </w:r>
      <w:r w:rsidR="000C2FD6">
        <w:rPr>
          <w:rFonts w:ascii="Times New Roman" w:eastAsiaTheme="minorHAnsi" w:hAnsi="Times New Roman"/>
          <w:sz w:val="28"/>
          <w:szCs w:val="28"/>
          <w:lang w:val="uz-Cyrl-UZ" w:eastAsia="en-US"/>
        </w:rPr>
        <w:t>Я</w:t>
      </w:r>
      <w:r w:rsidRPr="00A11646">
        <w:rPr>
          <w:rFonts w:ascii="Times New Roman" w:eastAsiaTheme="minorHAnsi" w:hAnsi="Times New Roman"/>
          <w:sz w:val="28"/>
          <w:szCs w:val="28"/>
          <w:lang w:eastAsia="en-US"/>
        </w:rPr>
        <w:t xml:space="preserve"> ПРОБЛЕМЫ ДИАГНОСТИКИ</w:t>
      </w:r>
      <w:r w:rsidR="00E14BA0" w:rsidRPr="00E14BA0">
        <w:rPr>
          <w:rFonts w:ascii="Times New Roman" w:eastAsiaTheme="minorHAnsi" w:hAnsi="Times New Roman"/>
          <w:sz w:val="28"/>
          <w:szCs w:val="28"/>
          <w:lang w:eastAsia="en-US"/>
        </w:rPr>
        <w:t xml:space="preserve"> </w:t>
      </w:r>
      <w:r w:rsidRPr="00A11646">
        <w:rPr>
          <w:rFonts w:ascii="Times New Roman" w:eastAsiaTheme="minorHAnsi" w:hAnsi="Times New Roman"/>
          <w:sz w:val="28"/>
          <w:szCs w:val="28"/>
          <w:lang w:eastAsia="en-US"/>
        </w:rPr>
        <w:t>И</w:t>
      </w:r>
      <w:r w:rsidR="00E14BA0" w:rsidRPr="00E14BA0">
        <w:rPr>
          <w:rFonts w:ascii="Times New Roman" w:eastAsiaTheme="minorHAnsi" w:hAnsi="Times New Roman"/>
          <w:sz w:val="28"/>
          <w:szCs w:val="28"/>
          <w:lang w:eastAsia="en-US"/>
        </w:rPr>
        <w:t xml:space="preserve"> </w:t>
      </w:r>
      <w:r w:rsidR="00E14BA0">
        <w:rPr>
          <w:rFonts w:ascii="Times New Roman" w:eastAsiaTheme="minorHAnsi" w:hAnsi="Times New Roman"/>
          <w:sz w:val="28"/>
          <w:szCs w:val="28"/>
          <w:lang w:eastAsia="en-US"/>
        </w:rPr>
        <w:t>ЛЕЧЕНИЯ</w:t>
      </w:r>
      <w:r w:rsidR="00E14BA0" w:rsidRPr="00E14BA0">
        <w:rPr>
          <w:rFonts w:ascii="Times New Roman" w:eastAsiaTheme="minorHAnsi" w:hAnsi="Times New Roman"/>
          <w:sz w:val="28"/>
          <w:szCs w:val="28"/>
          <w:lang w:eastAsia="en-US"/>
        </w:rPr>
        <w:t xml:space="preserve"> </w:t>
      </w:r>
      <w:r w:rsidRPr="00A11646">
        <w:rPr>
          <w:rFonts w:ascii="Times New Roman" w:eastAsiaTheme="minorHAnsi" w:hAnsi="Times New Roman"/>
          <w:sz w:val="28"/>
          <w:szCs w:val="28"/>
          <w:lang w:eastAsia="en-US"/>
        </w:rPr>
        <w:t>МНОЖЕСТВЕН</w:t>
      </w:r>
      <w:r w:rsidR="00E14BA0">
        <w:rPr>
          <w:rFonts w:ascii="Times New Roman" w:eastAsiaTheme="minorHAnsi" w:hAnsi="Times New Roman"/>
          <w:sz w:val="28"/>
          <w:szCs w:val="28"/>
          <w:lang w:eastAsia="en-US"/>
        </w:rPr>
        <w:t>НОЙ</w:t>
      </w:r>
      <w:r w:rsidR="00E14BA0" w:rsidRPr="00E14BA0">
        <w:rPr>
          <w:rFonts w:ascii="Times New Roman" w:eastAsiaTheme="minorHAnsi" w:hAnsi="Times New Roman"/>
          <w:sz w:val="28"/>
          <w:szCs w:val="28"/>
          <w:lang w:eastAsia="en-US"/>
        </w:rPr>
        <w:t xml:space="preserve"> </w:t>
      </w:r>
      <w:r w:rsidRPr="00A11646">
        <w:rPr>
          <w:rFonts w:ascii="Times New Roman" w:eastAsiaTheme="minorHAnsi" w:hAnsi="Times New Roman"/>
          <w:sz w:val="28"/>
          <w:szCs w:val="28"/>
          <w:lang w:eastAsia="en-US"/>
        </w:rPr>
        <w:t>МИЕЛОМЫ…..……………………</w:t>
      </w:r>
      <w:r w:rsidR="00E14BA0">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11</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§1.1.Множественная миелома – общее представление, распространенность </w:t>
      </w:r>
    </w:p>
    <w:p w:rsidR="00D754DD" w:rsidRPr="00A11646" w:rsidRDefault="00E14BA0" w:rsidP="00E14BA0">
      <w:pPr>
        <w:autoSpaceDE w:val="0"/>
        <w:autoSpaceDN w:val="0"/>
        <w:adjustRightInd w:val="0"/>
        <w:spacing w:after="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и классификация </w:t>
      </w:r>
      <w:r w:rsidR="00D754DD" w:rsidRPr="00A11646">
        <w:rPr>
          <w:rFonts w:ascii="Times New Roman" w:eastAsiaTheme="minorHAnsi" w:hAnsi="Times New Roman"/>
          <w:sz w:val="28"/>
          <w:szCs w:val="28"/>
          <w:lang w:eastAsia="en-US"/>
        </w:rPr>
        <w:t>……………………………………………………………...11</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§1.2 Механизмы развития</w:t>
      </w:r>
      <w:r w:rsidR="00E14BA0">
        <w:rPr>
          <w:rFonts w:ascii="Times New Roman" w:eastAsiaTheme="minorHAnsi" w:hAnsi="Times New Roman"/>
          <w:sz w:val="28"/>
          <w:szCs w:val="28"/>
          <w:lang w:eastAsia="en-US"/>
        </w:rPr>
        <w:t xml:space="preserve"> множественной миеломы ……………………</w:t>
      </w:r>
      <w:r w:rsidRPr="00A11646">
        <w:rPr>
          <w:rFonts w:ascii="Times New Roman" w:eastAsiaTheme="minorHAnsi" w:hAnsi="Times New Roman"/>
          <w:sz w:val="28"/>
          <w:szCs w:val="28"/>
          <w:lang w:eastAsia="en-US"/>
        </w:rPr>
        <w:t xml:space="preserve">.. 16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§1.3. Вопросы диагностики и лечения множественной мие</w:t>
      </w:r>
      <w:r w:rsidR="00E14BA0">
        <w:rPr>
          <w:rFonts w:ascii="Times New Roman" w:eastAsiaTheme="minorHAnsi" w:hAnsi="Times New Roman"/>
          <w:sz w:val="28"/>
          <w:szCs w:val="28"/>
          <w:lang w:eastAsia="en-US"/>
        </w:rPr>
        <w:t>ломы …..…</w:t>
      </w:r>
      <w:r w:rsidRPr="00A11646">
        <w:rPr>
          <w:rFonts w:ascii="Times New Roman" w:eastAsiaTheme="minorHAnsi" w:hAnsi="Times New Roman"/>
          <w:sz w:val="28"/>
          <w:szCs w:val="28"/>
          <w:lang w:eastAsia="en-US"/>
        </w:rPr>
        <w:t xml:space="preserve">… 19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ГЛАВА 2. МА</w:t>
      </w:r>
      <w:r w:rsidR="00E14BA0">
        <w:rPr>
          <w:rFonts w:ascii="Times New Roman" w:eastAsiaTheme="minorHAnsi" w:hAnsi="Times New Roman"/>
          <w:sz w:val="28"/>
          <w:szCs w:val="28"/>
          <w:lang w:eastAsia="en-US"/>
        </w:rPr>
        <w:t>ТЕРИАЛЫ И МЕТОДЫ …………………………………</w:t>
      </w:r>
      <w:r w:rsidRPr="00A11646">
        <w:rPr>
          <w:rFonts w:ascii="Times New Roman" w:eastAsiaTheme="minorHAnsi" w:hAnsi="Times New Roman"/>
          <w:sz w:val="28"/>
          <w:szCs w:val="28"/>
          <w:lang w:eastAsia="en-US"/>
        </w:rPr>
        <w:t xml:space="preserve">....30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§2.1. Клиническая характ</w:t>
      </w:r>
      <w:r w:rsidR="00E14BA0">
        <w:rPr>
          <w:rFonts w:ascii="Times New Roman" w:eastAsiaTheme="minorHAnsi" w:hAnsi="Times New Roman"/>
          <w:sz w:val="28"/>
          <w:szCs w:val="28"/>
          <w:lang w:eastAsia="en-US"/>
        </w:rPr>
        <w:t>еристика больных ……………...………………</w:t>
      </w:r>
      <w:r w:rsidRPr="00A11646">
        <w:rPr>
          <w:rFonts w:ascii="Times New Roman" w:eastAsiaTheme="minorHAnsi" w:hAnsi="Times New Roman"/>
          <w:sz w:val="28"/>
          <w:szCs w:val="28"/>
          <w:lang w:eastAsia="en-US"/>
        </w:rPr>
        <w:t>...30</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2.2.1. Характеристика методо</w:t>
      </w:r>
      <w:r w:rsidR="00E14BA0">
        <w:rPr>
          <w:rFonts w:ascii="Times New Roman" w:eastAsiaTheme="minorHAnsi" w:hAnsi="Times New Roman"/>
          <w:sz w:val="28"/>
          <w:szCs w:val="28"/>
          <w:lang w:eastAsia="en-US"/>
        </w:rPr>
        <w:t>в исследования …………...………………...</w:t>
      </w:r>
      <w:r w:rsidRPr="00A11646">
        <w:rPr>
          <w:rFonts w:ascii="Times New Roman" w:eastAsiaTheme="minorHAnsi" w:hAnsi="Times New Roman"/>
          <w:sz w:val="28"/>
          <w:szCs w:val="28"/>
          <w:lang w:eastAsia="en-US"/>
        </w:rPr>
        <w:t>.32</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2.2.2. Методы лабораторного </w:t>
      </w:r>
      <w:r w:rsidR="00E14BA0">
        <w:rPr>
          <w:rFonts w:ascii="Times New Roman" w:eastAsiaTheme="minorHAnsi" w:hAnsi="Times New Roman"/>
          <w:sz w:val="28"/>
          <w:szCs w:val="28"/>
          <w:lang w:eastAsia="en-US"/>
        </w:rPr>
        <w:t xml:space="preserve">обследования больных </w:t>
      </w:r>
      <w:r w:rsidR="00B5580D">
        <w:rPr>
          <w:rFonts w:ascii="Times New Roman" w:eastAsiaTheme="minorHAnsi" w:hAnsi="Times New Roman"/>
          <w:sz w:val="28"/>
          <w:szCs w:val="28"/>
          <w:lang w:eastAsia="en-US"/>
        </w:rPr>
        <w:t>множественной миеломы……………………………………………………………………….</w:t>
      </w:r>
      <w:r w:rsidRPr="00A11646">
        <w:rPr>
          <w:rFonts w:ascii="Times New Roman" w:eastAsiaTheme="minorHAnsi" w:hAnsi="Times New Roman"/>
          <w:sz w:val="28"/>
          <w:szCs w:val="28"/>
          <w:lang w:eastAsia="en-US"/>
        </w:rPr>
        <w:t>32</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§2.3. Характеристика метод</w:t>
      </w:r>
      <w:r w:rsidR="00E14BA0">
        <w:rPr>
          <w:rFonts w:ascii="Times New Roman" w:eastAsiaTheme="minorHAnsi" w:hAnsi="Times New Roman"/>
          <w:sz w:val="28"/>
          <w:szCs w:val="28"/>
          <w:lang w:eastAsia="en-US"/>
        </w:rPr>
        <w:t>ов лечения…...……………………………….</w:t>
      </w:r>
      <w:r w:rsidRPr="00A11646">
        <w:rPr>
          <w:rFonts w:ascii="Times New Roman" w:eastAsiaTheme="minorHAnsi" w:hAnsi="Times New Roman"/>
          <w:sz w:val="28"/>
          <w:szCs w:val="28"/>
          <w:lang w:eastAsia="en-US"/>
        </w:rPr>
        <w:t xml:space="preserve">..37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 2.3.1. Методика аутотрансплантации гемопоэтических стволовых клеток (ауто</w:t>
      </w:r>
      <w:r w:rsidR="00E14BA0">
        <w:rPr>
          <w:rFonts w:ascii="Times New Roman" w:eastAsiaTheme="minorHAnsi" w:hAnsi="Times New Roman"/>
          <w:sz w:val="28"/>
          <w:szCs w:val="28"/>
          <w:lang w:eastAsia="en-US"/>
        </w:rPr>
        <w:t>ТГСК)……………………………………………………………………</w:t>
      </w:r>
      <w:r w:rsidRPr="00A11646">
        <w:rPr>
          <w:rFonts w:ascii="Times New Roman" w:eastAsiaTheme="minorHAnsi" w:hAnsi="Times New Roman"/>
          <w:sz w:val="28"/>
          <w:szCs w:val="28"/>
          <w:lang w:eastAsia="en-US"/>
        </w:rPr>
        <w:t xml:space="preserve"> 38</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2.3.1.1.  Мобилизация аутогемопоэтич</w:t>
      </w:r>
      <w:r w:rsidR="00E14BA0">
        <w:rPr>
          <w:rFonts w:ascii="Times New Roman" w:eastAsiaTheme="minorHAnsi" w:hAnsi="Times New Roman"/>
          <w:sz w:val="28"/>
          <w:szCs w:val="28"/>
          <w:lang w:eastAsia="en-US"/>
        </w:rPr>
        <w:t>еских стволовых клеток крови…</w:t>
      </w:r>
      <w:r w:rsidRPr="00A11646">
        <w:rPr>
          <w:rFonts w:ascii="Times New Roman" w:eastAsiaTheme="minorHAnsi" w:hAnsi="Times New Roman"/>
          <w:sz w:val="28"/>
          <w:szCs w:val="28"/>
          <w:lang w:eastAsia="en-US"/>
        </w:rPr>
        <w:t>. 38</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2.3.1.2.  Кондиционирование и трансфузия аутогемопоэтических стволовых клеток к</w:t>
      </w:r>
      <w:r w:rsidR="00E14BA0">
        <w:rPr>
          <w:rFonts w:ascii="Times New Roman" w:eastAsiaTheme="minorHAnsi" w:hAnsi="Times New Roman"/>
          <w:sz w:val="28"/>
          <w:szCs w:val="28"/>
          <w:lang w:eastAsia="en-US"/>
        </w:rPr>
        <w:t>рови……………………………………………………</w:t>
      </w:r>
      <w:r w:rsidRPr="00A11646">
        <w:rPr>
          <w:rFonts w:ascii="Times New Roman" w:eastAsiaTheme="minorHAnsi" w:hAnsi="Times New Roman"/>
          <w:sz w:val="28"/>
          <w:szCs w:val="28"/>
          <w:lang w:eastAsia="en-US"/>
        </w:rPr>
        <w:t xml:space="preserve"> </w:t>
      </w:r>
      <w:r w:rsidR="00B5580D">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 xml:space="preserve">39  </w:t>
      </w:r>
    </w:p>
    <w:p w:rsidR="00D754DD" w:rsidRPr="00A11646" w:rsidRDefault="00B5580D" w:rsidP="00E14BA0">
      <w:pPr>
        <w:autoSpaceDE w:val="0"/>
        <w:autoSpaceDN w:val="0"/>
        <w:adjustRightInd w:val="0"/>
        <w:spacing w:after="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2.3.1.3.Оценка </w:t>
      </w:r>
      <w:r w:rsidR="00D754DD" w:rsidRPr="00A11646">
        <w:rPr>
          <w:rFonts w:ascii="Times New Roman" w:eastAsiaTheme="minorHAnsi" w:hAnsi="Times New Roman"/>
          <w:sz w:val="28"/>
          <w:szCs w:val="28"/>
          <w:lang w:eastAsia="en-US"/>
        </w:rPr>
        <w:t>эффектив</w:t>
      </w:r>
      <w:r>
        <w:rPr>
          <w:rFonts w:ascii="Times New Roman" w:eastAsiaTheme="minorHAnsi" w:hAnsi="Times New Roman"/>
          <w:sz w:val="28"/>
          <w:szCs w:val="28"/>
          <w:lang w:eastAsia="en-US"/>
        </w:rPr>
        <w:t>ности лечения множественной миеломы……….</w:t>
      </w:r>
      <w:r w:rsidR="00D754DD" w:rsidRPr="00A11646">
        <w:rPr>
          <w:rFonts w:ascii="Times New Roman" w:eastAsiaTheme="minorHAnsi" w:hAnsi="Times New Roman"/>
          <w:sz w:val="28"/>
          <w:szCs w:val="28"/>
          <w:lang w:eastAsia="en-US"/>
        </w:rPr>
        <w:t xml:space="preserve"> 39</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2.4.</w:t>
      </w:r>
      <w:r w:rsidRPr="00A11646">
        <w:rPr>
          <w:rFonts w:ascii="Times New Roman" w:eastAsiaTheme="minorHAnsi" w:hAnsi="Times New Roman"/>
          <w:sz w:val="28"/>
          <w:szCs w:val="28"/>
          <w:lang w:eastAsia="en-US"/>
        </w:rPr>
        <w:tab/>
        <w:t>Статистические м</w:t>
      </w:r>
      <w:r w:rsidR="00E14BA0">
        <w:rPr>
          <w:rFonts w:ascii="Times New Roman" w:eastAsiaTheme="minorHAnsi" w:hAnsi="Times New Roman"/>
          <w:sz w:val="28"/>
          <w:szCs w:val="28"/>
          <w:lang w:eastAsia="en-US"/>
        </w:rPr>
        <w:t>етоды исследования ………………………………</w:t>
      </w:r>
      <w:r w:rsidRPr="00A11646">
        <w:rPr>
          <w:rFonts w:ascii="Times New Roman" w:eastAsiaTheme="minorHAnsi" w:hAnsi="Times New Roman"/>
          <w:sz w:val="28"/>
          <w:szCs w:val="28"/>
          <w:lang w:eastAsia="en-US"/>
        </w:rPr>
        <w:t>.41</w:t>
      </w:r>
    </w:p>
    <w:p w:rsidR="00D754DD" w:rsidRPr="00A11646" w:rsidRDefault="00B5580D" w:rsidP="00E14BA0">
      <w:pPr>
        <w:autoSpaceDE w:val="0"/>
        <w:autoSpaceDN w:val="0"/>
        <w:adjustRightInd w:val="0"/>
        <w:spacing w:after="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ГЛАВА </w:t>
      </w:r>
      <w:r w:rsidR="00D754DD" w:rsidRPr="00A11646">
        <w:rPr>
          <w:rFonts w:ascii="Times New Roman" w:eastAsiaTheme="minorHAnsi" w:hAnsi="Times New Roman"/>
          <w:sz w:val="28"/>
          <w:szCs w:val="28"/>
          <w:lang w:eastAsia="en-US"/>
        </w:rPr>
        <w:t>3.</w:t>
      </w:r>
      <w:r>
        <w:rPr>
          <w:rFonts w:ascii="Times New Roman" w:eastAsiaTheme="minorHAnsi" w:hAnsi="Times New Roman"/>
          <w:sz w:val="28"/>
          <w:szCs w:val="28"/>
          <w:lang w:eastAsia="en-US"/>
        </w:rPr>
        <w:t xml:space="preserve"> </w:t>
      </w:r>
      <w:r w:rsidR="00D754DD" w:rsidRPr="00A11646">
        <w:rPr>
          <w:rFonts w:ascii="Times New Roman" w:eastAsiaTheme="minorHAnsi" w:hAnsi="Times New Roman"/>
          <w:sz w:val="28"/>
          <w:szCs w:val="28"/>
          <w:lang w:eastAsia="en-US"/>
        </w:rPr>
        <w:t>КЛИНИКО-ЛАБО</w:t>
      </w:r>
      <w:r>
        <w:rPr>
          <w:rFonts w:ascii="Times New Roman" w:eastAsiaTheme="minorHAnsi" w:hAnsi="Times New Roman"/>
          <w:sz w:val="28"/>
          <w:szCs w:val="28"/>
          <w:lang w:eastAsia="en-US"/>
        </w:rPr>
        <w:t>РАТОРНЫЕ ОСОБЕННОСТИ МНОЖЕСТВЕН</w:t>
      </w:r>
      <w:r w:rsidR="00D754DD" w:rsidRPr="00A11646">
        <w:rPr>
          <w:rFonts w:ascii="Times New Roman" w:eastAsiaTheme="minorHAnsi" w:hAnsi="Times New Roman"/>
          <w:sz w:val="28"/>
          <w:szCs w:val="28"/>
          <w:lang w:eastAsia="en-US"/>
        </w:rPr>
        <w:t>НОЙ МИЕЛО</w:t>
      </w:r>
      <w:r w:rsidR="00E14BA0">
        <w:rPr>
          <w:rFonts w:ascii="Times New Roman" w:eastAsiaTheme="minorHAnsi" w:hAnsi="Times New Roman"/>
          <w:sz w:val="28"/>
          <w:szCs w:val="28"/>
          <w:lang w:eastAsia="en-US"/>
        </w:rPr>
        <w:t>МЫ В УЗБЕКИСТАНЕ….……………</w:t>
      </w:r>
      <w:r>
        <w:rPr>
          <w:rFonts w:ascii="Times New Roman" w:eastAsiaTheme="minorHAnsi" w:hAnsi="Times New Roman"/>
          <w:sz w:val="28"/>
          <w:szCs w:val="28"/>
          <w:lang w:eastAsia="en-US"/>
        </w:rPr>
        <w:t>….</w:t>
      </w:r>
      <w:r w:rsidR="00D754DD" w:rsidRPr="00A11646">
        <w:rPr>
          <w:rFonts w:ascii="Times New Roman" w:eastAsiaTheme="minorHAnsi" w:hAnsi="Times New Roman"/>
          <w:sz w:val="28"/>
          <w:szCs w:val="28"/>
          <w:lang w:eastAsia="en-US"/>
        </w:rPr>
        <w:t xml:space="preserve">  42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3.1. Клинические особенности течения множественной миеломы в Узбеки</w:t>
      </w:r>
      <w:r w:rsidR="00E14BA0">
        <w:rPr>
          <w:rFonts w:ascii="Times New Roman" w:eastAsiaTheme="minorHAnsi" w:hAnsi="Times New Roman"/>
          <w:sz w:val="28"/>
          <w:szCs w:val="28"/>
          <w:lang w:eastAsia="en-US"/>
        </w:rPr>
        <w:t>стане……………………………………………………………………</w:t>
      </w:r>
      <w:r w:rsidRPr="00A11646">
        <w:rPr>
          <w:rFonts w:ascii="Times New Roman" w:eastAsiaTheme="minorHAnsi" w:hAnsi="Times New Roman"/>
          <w:sz w:val="28"/>
          <w:szCs w:val="28"/>
          <w:lang w:eastAsia="en-US"/>
        </w:rPr>
        <w:t>42</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lastRenderedPageBreak/>
        <w:t>§ 3.2. Особенности лабораторных проявлений множественной миеломы в Узбеки</w:t>
      </w:r>
      <w:r w:rsidR="004A42A4">
        <w:rPr>
          <w:rFonts w:ascii="Times New Roman" w:eastAsiaTheme="minorHAnsi" w:hAnsi="Times New Roman"/>
          <w:sz w:val="28"/>
          <w:szCs w:val="28"/>
          <w:lang w:eastAsia="en-US"/>
        </w:rPr>
        <w:t>стане……………………………………………………………………</w:t>
      </w:r>
      <w:r w:rsidRPr="00A11646">
        <w:rPr>
          <w:rFonts w:ascii="Times New Roman" w:eastAsiaTheme="minorHAnsi" w:hAnsi="Times New Roman"/>
          <w:sz w:val="28"/>
          <w:szCs w:val="28"/>
          <w:lang w:eastAsia="en-US"/>
        </w:rPr>
        <w:t>51</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3.2.1. Состояние показателей периферической крови и костного мозга у больных </w:t>
      </w:r>
      <w:r w:rsidR="00B5580D">
        <w:rPr>
          <w:rFonts w:ascii="Times New Roman" w:eastAsiaTheme="minorHAnsi" w:hAnsi="Times New Roman"/>
          <w:sz w:val="28"/>
          <w:szCs w:val="28"/>
          <w:lang w:eastAsia="en-US"/>
        </w:rPr>
        <w:t>множественной миеломы..</w:t>
      </w:r>
      <w:r w:rsidRPr="00A11646">
        <w:rPr>
          <w:rFonts w:ascii="Times New Roman" w:eastAsiaTheme="minorHAnsi" w:hAnsi="Times New Roman"/>
          <w:sz w:val="28"/>
          <w:szCs w:val="28"/>
          <w:lang w:eastAsia="en-US"/>
        </w:rPr>
        <w:t>………………</w:t>
      </w:r>
      <w:r w:rsidR="004A42A4">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.51</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3.2.2. Состояние биохимических показателей крови и мочи у больных </w:t>
      </w:r>
      <w:r w:rsidR="00B5580D">
        <w:rPr>
          <w:rFonts w:ascii="Times New Roman" w:eastAsiaTheme="minorHAnsi" w:hAnsi="Times New Roman"/>
          <w:sz w:val="28"/>
          <w:szCs w:val="28"/>
          <w:lang w:eastAsia="en-US"/>
        </w:rPr>
        <w:t>множественной миеломы…...</w:t>
      </w:r>
      <w:r w:rsidRPr="00A11646">
        <w:rPr>
          <w:rFonts w:ascii="Times New Roman" w:eastAsiaTheme="minorHAnsi" w:hAnsi="Times New Roman"/>
          <w:sz w:val="28"/>
          <w:szCs w:val="28"/>
          <w:lang w:eastAsia="en-US"/>
        </w:rPr>
        <w:t>………………………</w:t>
      </w:r>
      <w:r w:rsidR="004A42A4">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 xml:space="preserve">.57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ГЛАВА 4. ОЦЕНКА ЭФФЕКТИВНОСТИ ЛЕЧЕНИЯ, ПРОГНОСТИЧЕСКИЕ ФАКТОРЫ И ВЫЖИВАЕМОСТЬ У БОЛЬНЫ</w:t>
      </w:r>
      <w:r w:rsidR="004A42A4">
        <w:rPr>
          <w:rFonts w:ascii="Times New Roman" w:eastAsiaTheme="minorHAnsi" w:hAnsi="Times New Roman"/>
          <w:sz w:val="28"/>
          <w:szCs w:val="28"/>
          <w:lang w:eastAsia="en-US"/>
        </w:rPr>
        <w:t>Х МНОЖЕСТВЕННОЙ МИЕЛОМОЙ. ……………………………………</w:t>
      </w:r>
      <w:r w:rsidRPr="00A11646">
        <w:rPr>
          <w:rFonts w:ascii="Times New Roman" w:eastAsiaTheme="minorHAnsi" w:hAnsi="Times New Roman"/>
          <w:sz w:val="28"/>
          <w:szCs w:val="28"/>
          <w:lang w:eastAsia="en-US"/>
        </w:rPr>
        <w:t>.</w:t>
      </w:r>
      <w:r w:rsidR="00581F0C">
        <w:rPr>
          <w:rFonts w:ascii="Times New Roman" w:eastAsiaTheme="minorHAnsi" w:hAnsi="Times New Roman"/>
          <w:sz w:val="28"/>
          <w:szCs w:val="28"/>
          <w:lang w:val="uz-Cyrl-UZ" w:eastAsia="en-US"/>
        </w:rPr>
        <w:t>...</w:t>
      </w:r>
      <w:r w:rsidRPr="00A11646">
        <w:rPr>
          <w:rFonts w:ascii="Times New Roman" w:eastAsiaTheme="minorHAnsi" w:hAnsi="Times New Roman"/>
          <w:sz w:val="28"/>
          <w:szCs w:val="28"/>
          <w:lang w:eastAsia="en-US"/>
        </w:rPr>
        <w:t>68</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4.1. Состояние клинического стату</w:t>
      </w:r>
      <w:r w:rsidR="004A42A4">
        <w:rPr>
          <w:rFonts w:ascii="Times New Roman" w:eastAsiaTheme="minorHAnsi" w:hAnsi="Times New Roman"/>
          <w:sz w:val="28"/>
          <w:szCs w:val="28"/>
          <w:lang w:eastAsia="en-US"/>
        </w:rPr>
        <w:t xml:space="preserve">са у больных </w:t>
      </w:r>
      <w:r w:rsidR="00B5580D">
        <w:rPr>
          <w:rFonts w:ascii="Times New Roman" w:eastAsiaTheme="minorHAnsi" w:hAnsi="Times New Roman"/>
          <w:sz w:val="28"/>
          <w:szCs w:val="28"/>
          <w:lang w:eastAsia="en-US"/>
        </w:rPr>
        <w:t>множественной миеломы</w:t>
      </w:r>
      <w:r w:rsidR="004A42A4">
        <w:rPr>
          <w:rFonts w:ascii="Times New Roman" w:eastAsiaTheme="minorHAnsi" w:hAnsi="Times New Roman"/>
          <w:sz w:val="28"/>
          <w:szCs w:val="28"/>
          <w:lang w:eastAsia="en-US"/>
        </w:rPr>
        <w:t xml:space="preserve"> после лечения…</w:t>
      </w:r>
      <w:r w:rsidR="00B5580D">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68</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4.2. Состояние лабораторных показат</w:t>
      </w:r>
      <w:r w:rsidR="004A42A4">
        <w:rPr>
          <w:rFonts w:ascii="Times New Roman" w:eastAsiaTheme="minorHAnsi" w:hAnsi="Times New Roman"/>
          <w:sz w:val="28"/>
          <w:szCs w:val="28"/>
          <w:lang w:eastAsia="en-US"/>
        </w:rPr>
        <w:t xml:space="preserve">елей у больных </w:t>
      </w:r>
      <w:r w:rsidR="00B5580D">
        <w:rPr>
          <w:rFonts w:ascii="Times New Roman" w:eastAsiaTheme="minorHAnsi" w:hAnsi="Times New Roman"/>
          <w:sz w:val="28"/>
          <w:szCs w:val="28"/>
          <w:lang w:eastAsia="en-US"/>
        </w:rPr>
        <w:t>множественной миеломы</w:t>
      </w:r>
      <w:r w:rsidR="004A42A4">
        <w:rPr>
          <w:rFonts w:ascii="Times New Roman" w:eastAsiaTheme="minorHAnsi" w:hAnsi="Times New Roman"/>
          <w:sz w:val="28"/>
          <w:szCs w:val="28"/>
          <w:lang w:eastAsia="en-US"/>
        </w:rPr>
        <w:t xml:space="preserve"> после лечения……………………………………</w:t>
      </w:r>
      <w:r w:rsidR="00B5580D">
        <w:rPr>
          <w:rFonts w:ascii="Times New Roman" w:eastAsiaTheme="minorHAnsi" w:hAnsi="Times New Roman"/>
          <w:sz w:val="28"/>
          <w:szCs w:val="28"/>
          <w:lang w:eastAsia="en-US"/>
        </w:rPr>
        <w:t>…..</w:t>
      </w:r>
      <w:r w:rsidR="004A42A4">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73</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4.2.1. Состояние показателей периферической крови и костного мозга у больных </w:t>
      </w:r>
      <w:r w:rsidR="00B5580D">
        <w:rPr>
          <w:rFonts w:ascii="Times New Roman" w:eastAsiaTheme="minorHAnsi" w:hAnsi="Times New Roman"/>
          <w:sz w:val="28"/>
          <w:szCs w:val="28"/>
          <w:lang w:eastAsia="en-US"/>
        </w:rPr>
        <w:t>множественной миеломы</w:t>
      </w:r>
      <w:r w:rsidRPr="00A11646">
        <w:rPr>
          <w:rFonts w:ascii="Times New Roman" w:eastAsiaTheme="minorHAnsi" w:hAnsi="Times New Roman"/>
          <w:sz w:val="28"/>
          <w:szCs w:val="28"/>
          <w:lang w:eastAsia="en-US"/>
        </w:rPr>
        <w:t xml:space="preserve"> после</w:t>
      </w:r>
      <w:r w:rsidR="00B5580D">
        <w:rPr>
          <w:rFonts w:ascii="Times New Roman" w:eastAsiaTheme="minorHAnsi" w:hAnsi="Times New Roman"/>
          <w:sz w:val="28"/>
          <w:szCs w:val="28"/>
          <w:lang w:eastAsia="en-US"/>
        </w:rPr>
        <w:t xml:space="preserve"> лечения………………...………</w:t>
      </w:r>
      <w:r w:rsidRPr="00A11646">
        <w:rPr>
          <w:rFonts w:ascii="Times New Roman" w:eastAsiaTheme="minorHAnsi" w:hAnsi="Times New Roman"/>
          <w:sz w:val="28"/>
          <w:szCs w:val="28"/>
          <w:lang w:eastAsia="en-US"/>
        </w:rPr>
        <w:t>73</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4.2.2. Состояние биохимических показателей крови и мочи у больных </w:t>
      </w:r>
      <w:r w:rsidR="00B5580D">
        <w:rPr>
          <w:rFonts w:ascii="Times New Roman" w:eastAsiaTheme="minorHAnsi" w:hAnsi="Times New Roman"/>
          <w:sz w:val="28"/>
          <w:szCs w:val="28"/>
          <w:lang w:eastAsia="en-US"/>
        </w:rPr>
        <w:t>множественной миеломы</w:t>
      </w:r>
      <w:r w:rsidRPr="00A11646">
        <w:rPr>
          <w:rFonts w:ascii="Times New Roman" w:eastAsiaTheme="minorHAnsi" w:hAnsi="Times New Roman"/>
          <w:sz w:val="28"/>
          <w:szCs w:val="28"/>
          <w:lang w:eastAsia="en-US"/>
        </w:rPr>
        <w:t xml:space="preserve"> после лечения…………………………</w:t>
      </w:r>
      <w:r w:rsidR="00B5580D">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80</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 4.3. Изучение корреляционных связей между изученными показателями у больных </w:t>
      </w:r>
      <w:r w:rsidR="00B5580D">
        <w:rPr>
          <w:rFonts w:ascii="Times New Roman" w:eastAsiaTheme="minorHAnsi" w:hAnsi="Times New Roman"/>
          <w:sz w:val="28"/>
          <w:szCs w:val="28"/>
          <w:lang w:eastAsia="en-US"/>
        </w:rPr>
        <w:t xml:space="preserve">множественной миеломы </w:t>
      </w:r>
      <w:r w:rsidRPr="00A11646">
        <w:rPr>
          <w:rFonts w:ascii="Times New Roman" w:eastAsiaTheme="minorHAnsi" w:hAnsi="Times New Roman"/>
          <w:sz w:val="28"/>
          <w:szCs w:val="28"/>
          <w:lang w:eastAsia="en-US"/>
        </w:rPr>
        <w:t>п</w:t>
      </w:r>
      <w:r w:rsidR="004A42A4">
        <w:rPr>
          <w:rFonts w:ascii="Times New Roman" w:eastAsiaTheme="minorHAnsi" w:hAnsi="Times New Roman"/>
          <w:sz w:val="28"/>
          <w:szCs w:val="28"/>
          <w:lang w:eastAsia="en-US"/>
        </w:rPr>
        <w:t>осле лечения……………………….</w:t>
      </w:r>
      <w:r w:rsidRPr="00A11646">
        <w:rPr>
          <w:rFonts w:ascii="Times New Roman" w:eastAsiaTheme="minorHAnsi" w:hAnsi="Times New Roman"/>
          <w:sz w:val="28"/>
          <w:szCs w:val="28"/>
          <w:lang w:eastAsia="en-US"/>
        </w:rPr>
        <w:t>.88</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4.4. Выживаемост</w:t>
      </w:r>
      <w:r w:rsidR="004A42A4">
        <w:rPr>
          <w:rFonts w:ascii="Times New Roman" w:eastAsiaTheme="minorHAnsi" w:hAnsi="Times New Roman"/>
          <w:sz w:val="28"/>
          <w:szCs w:val="28"/>
          <w:lang w:eastAsia="en-US"/>
        </w:rPr>
        <w:t xml:space="preserve">ь у больных </w:t>
      </w:r>
      <w:r w:rsidR="00B5580D">
        <w:rPr>
          <w:rFonts w:ascii="Times New Roman" w:eastAsiaTheme="minorHAnsi" w:hAnsi="Times New Roman"/>
          <w:sz w:val="28"/>
          <w:szCs w:val="28"/>
          <w:lang w:eastAsia="en-US"/>
        </w:rPr>
        <w:t>множественной миеломы</w:t>
      </w:r>
      <w:r w:rsidR="004A42A4">
        <w:rPr>
          <w:rFonts w:ascii="Times New Roman" w:eastAsiaTheme="minorHAnsi" w:hAnsi="Times New Roman"/>
          <w:sz w:val="28"/>
          <w:szCs w:val="28"/>
          <w:lang w:eastAsia="en-US"/>
        </w:rPr>
        <w:t>………………..</w:t>
      </w:r>
      <w:r w:rsidRPr="00A11646">
        <w:rPr>
          <w:rFonts w:ascii="Times New Roman" w:eastAsiaTheme="minorHAnsi" w:hAnsi="Times New Roman"/>
          <w:sz w:val="28"/>
          <w:szCs w:val="28"/>
          <w:lang w:eastAsia="en-US"/>
        </w:rPr>
        <w:t xml:space="preserve">94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Заключе</w:t>
      </w:r>
      <w:r w:rsidR="004A42A4">
        <w:rPr>
          <w:rFonts w:ascii="Times New Roman" w:eastAsiaTheme="minorHAnsi" w:hAnsi="Times New Roman"/>
          <w:sz w:val="28"/>
          <w:szCs w:val="28"/>
          <w:lang w:eastAsia="en-US"/>
        </w:rPr>
        <w:t>ние …………………………………………………………………</w:t>
      </w:r>
      <w:r w:rsidR="00B5580D">
        <w:rPr>
          <w:rFonts w:ascii="Times New Roman" w:eastAsiaTheme="minorHAnsi" w:hAnsi="Times New Roman"/>
          <w:sz w:val="28"/>
          <w:szCs w:val="28"/>
          <w:lang w:eastAsia="en-US"/>
        </w:rPr>
        <w:t xml:space="preserve">  98</w:t>
      </w:r>
      <w:r w:rsidRPr="00A11646">
        <w:rPr>
          <w:rFonts w:ascii="Times New Roman" w:eastAsiaTheme="minorHAnsi" w:hAnsi="Times New Roman"/>
          <w:sz w:val="28"/>
          <w:szCs w:val="28"/>
          <w:lang w:eastAsia="en-US"/>
        </w:rPr>
        <w:t xml:space="preserve">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Выв</w:t>
      </w:r>
      <w:r w:rsidR="004A42A4">
        <w:rPr>
          <w:rFonts w:ascii="Times New Roman" w:eastAsiaTheme="minorHAnsi" w:hAnsi="Times New Roman"/>
          <w:sz w:val="28"/>
          <w:szCs w:val="28"/>
          <w:lang w:eastAsia="en-US"/>
        </w:rPr>
        <w:t>оды………………………………………………………………………</w:t>
      </w:r>
      <w:r w:rsidRPr="00A11646">
        <w:rPr>
          <w:rFonts w:ascii="Times New Roman" w:eastAsiaTheme="minorHAnsi" w:hAnsi="Times New Roman"/>
          <w:sz w:val="28"/>
          <w:szCs w:val="28"/>
          <w:lang w:eastAsia="en-US"/>
        </w:rPr>
        <w:t>11</w:t>
      </w:r>
      <w:r w:rsidR="004A42A4">
        <w:rPr>
          <w:rFonts w:ascii="Times New Roman" w:eastAsiaTheme="minorHAnsi" w:hAnsi="Times New Roman"/>
          <w:sz w:val="28"/>
          <w:szCs w:val="28"/>
          <w:lang w:eastAsia="en-US"/>
        </w:rPr>
        <w:t>4</w:t>
      </w:r>
      <w:r w:rsidRPr="00A11646">
        <w:rPr>
          <w:rFonts w:ascii="Times New Roman" w:eastAsiaTheme="minorHAnsi" w:hAnsi="Times New Roman"/>
          <w:sz w:val="28"/>
          <w:szCs w:val="28"/>
          <w:lang w:eastAsia="en-US"/>
        </w:rPr>
        <w:t xml:space="preserve"> </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sz w:val="28"/>
          <w:szCs w:val="28"/>
          <w:lang w:eastAsia="en-US"/>
        </w:rPr>
      </w:pPr>
      <w:r w:rsidRPr="00A11646">
        <w:rPr>
          <w:rFonts w:ascii="Times New Roman" w:eastAsiaTheme="minorHAnsi" w:hAnsi="Times New Roman"/>
          <w:sz w:val="28"/>
          <w:szCs w:val="28"/>
          <w:lang w:eastAsia="en-US"/>
        </w:rPr>
        <w:t xml:space="preserve">Практические </w:t>
      </w:r>
      <w:r w:rsidR="004A42A4">
        <w:rPr>
          <w:rFonts w:ascii="Times New Roman" w:eastAsiaTheme="minorHAnsi" w:hAnsi="Times New Roman"/>
          <w:sz w:val="28"/>
          <w:szCs w:val="28"/>
          <w:lang w:eastAsia="en-US"/>
        </w:rPr>
        <w:t>рекомендации ………………………………………………</w:t>
      </w:r>
      <w:r w:rsidRPr="00A11646">
        <w:rPr>
          <w:rFonts w:ascii="Times New Roman" w:eastAsiaTheme="minorHAnsi" w:hAnsi="Times New Roman"/>
          <w:sz w:val="28"/>
          <w:szCs w:val="28"/>
          <w:lang w:eastAsia="en-US"/>
        </w:rPr>
        <w:t xml:space="preserve"> 11</w:t>
      </w:r>
      <w:r w:rsidR="004A42A4">
        <w:rPr>
          <w:rFonts w:ascii="Times New Roman" w:eastAsiaTheme="minorHAnsi" w:hAnsi="Times New Roman"/>
          <w:sz w:val="28"/>
          <w:szCs w:val="28"/>
          <w:lang w:eastAsia="en-US"/>
        </w:rPr>
        <w:t>5</w:t>
      </w:r>
    </w:p>
    <w:p w:rsidR="00D754DD" w:rsidRPr="00A11646" w:rsidRDefault="00D754DD" w:rsidP="00E14BA0">
      <w:pPr>
        <w:autoSpaceDE w:val="0"/>
        <w:autoSpaceDN w:val="0"/>
        <w:adjustRightInd w:val="0"/>
        <w:spacing w:after="0" w:line="360" w:lineRule="auto"/>
        <w:jc w:val="both"/>
        <w:rPr>
          <w:rFonts w:ascii="Times New Roman" w:eastAsiaTheme="minorHAnsi" w:hAnsi="Times New Roman"/>
          <w:b/>
          <w:bCs/>
          <w:sz w:val="28"/>
          <w:szCs w:val="28"/>
          <w:lang w:eastAsia="en-US"/>
        </w:rPr>
      </w:pPr>
      <w:r w:rsidRPr="00A11646">
        <w:rPr>
          <w:rFonts w:ascii="Times New Roman" w:eastAsiaTheme="minorHAnsi" w:hAnsi="Times New Roman"/>
          <w:sz w:val="28"/>
          <w:szCs w:val="28"/>
          <w:lang w:eastAsia="en-US"/>
        </w:rPr>
        <w:t>Список лит</w:t>
      </w:r>
      <w:r w:rsidR="004A42A4">
        <w:rPr>
          <w:rFonts w:ascii="Times New Roman" w:eastAsiaTheme="minorHAnsi" w:hAnsi="Times New Roman"/>
          <w:sz w:val="28"/>
          <w:szCs w:val="28"/>
          <w:lang w:eastAsia="en-US"/>
        </w:rPr>
        <w:t>ературы …………………………………………………….……</w:t>
      </w:r>
      <w:r w:rsidRPr="00A11646">
        <w:rPr>
          <w:rFonts w:ascii="Times New Roman" w:eastAsiaTheme="minorHAnsi" w:hAnsi="Times New Roman"/>
          <w:sz w:val="28"/>
          <w:szCs w:val="28"/>
          <w:lang w:eastAsia="en-US"/>
        </w:rPr>
        <w:t>11</w:t>
      </w:r>
      <w:r w:rsidR="004A42A4">
        <w:rPr>
          <w:rFonts w:ascii="Times New Roman" w:eastAsiaTheme="minorHAnsi" w:hAnsi="Times New Roman"/>
          <w:sz w:val="28"/>
          <w:szCs w:val="28"/>
          <w:lang w:eastAsia="en-US"/>
        </w:rPr>
        <w:t>6</w:t>
      </w:r>
    </w:p>
    <w:p w:rsidR="00D754DD" w:rsidRPr="00A11646" w:rsidRDefault="00D754DD" w:rsidP="00E14BA0">
      <w:pPr>
        <w:jc w:val="both"/>
        <w:rPr>
          <w:rFonts w:ascii="Times New Roman" w:hAnsi="Times New Roman"/>
          <w:b/>
          <w:sz w:val="28"/>
          <w:szCs w:val="28"/>
        </w:rPr>
      </w:pPr>
    </w:p>
    <w:p w:rsidR="00D754DD" w:rsidRPr="00A11646" w:rsidRDefault="00D754DD" w:rsidP="00E14BA0">
      <w:pPr>
        <w:jc w:val="both"/>
        <w:rPr>
          <w:rFonts w:ascii="Times New Roman" w:hAnsi="Times New Roman"/>
          <w:b/>
          <w:sz w:val="28"/>
          <w:szCs w:val="28"/>
        </w:rPr>
      </w:pPr>
    </w:p>
    <w:p w:rsidR="00D754DD" w:rsidRPr="00A11646" w:rsidRDefault="00D754DD" w:rsidP="00E14BA0">
      <w:pPr>
        <w:jc w:val="both"/>
        <w:rPr>
          <w:rFonts w:ascii="Times New Roman" w:hAnsi="Times New Roman"/>
          <w:b/>
          <w:sz w:val="28"/>
          <w:szCs w:val="28"/>
        </w:rPr>
      </w:pPr>
    </w:p>
    <w:p w:rsidR="00D754DD" w:rsidRPr="00A11646" w:rsidRDefault="00D754DD" w:rsidP="00E14BA0">
      <w:pPr>
        <w:jc w:val="both"/>
        <w:rPr>
          <w:rFonts w:ascii="Times New Roman" w:hAnsi="Times New Roman"/>
          <w:b/>
          <w:sz w:val="28"/>
          <w:szCs w:val="28"/>
        </w:rPr>
      </w:pPr>
    </w:p>
    <w:p w:rsidR="00D754DD" w:rsidRPr="00A11646" w:rsidRDefault="00D754DD" w:rsidP="00E14BA0">
      <w:pPr>
        <w:jc w:val="both"/>
        <w:rPr>
          <w:rFonts w:ascii="Times New Roman" w:hAnsi="Times New Roman"/>
          <w:b/>
          <w:sz w:val="28"/>
          <w:szCs w:val="28"/>
        </w:rPr>
      </w:pPr>
    </w:p>
    <w:p w:rsidR="00772632" w:rsidRDefault="00772632" w:rsidP="00772632">
      <w:pPr>
        <w:spacing w:line="360" w:lineRule="auto"/>
        <w:jc w:val="center"/>
        <w:rPr>
          <w:rFonts w:ascii="Times New Roman" w:hAnsi="Times New Roman"/>
          <w:sz w:val="28"/>
          <w:szCs w:val="28"/>
        </w:rPr>
      </w:pPr>
      <w:bookmarkStart w:id="0" w:name="_Hlk25920864"/>
      <w:bookmarkStart w:id="1" w:name="_GoBack"/>
      <w:r>
        <w:rPr>
          <w:rFonts w:ascii="Times New Roman" w:hAnsi="Times New Roman"/>
          <w:sz w:val="28"/>
          <w:szCs w:val="28"/>
        </w:rPr>
        <w:lastRenderedPageBreak/>
        <w:t>СПИСОК СОКРАЩЕНИЙ</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ВОЗ – Всемирная организация здравоохранения</w:t>
      </w:r>
    </w:p>
    <w:p w:rsidR="00B86484" w:rsidRDefault="00B86484" w:rsidP="00B86484">
      <w:pPr>
        <w:spacing w:line="360" w:lineRule="auto"/>
        <w:jc w:val="both"/>
        <w:rPr>
          <w:rFonts w:ascii="Times New Roman" w:hAnsi="Times New Roman"/>
          <w:sz w:val="28"/>
          <w:szCs w:val="28"/>
        </w:rPr>
      </w:pPr>
      <w:r>
        <w:rPr>
          <w:rFonts w:ascii="Times New Roman" w:hAnsi="Times New Roman"/>
          <w:sz w:val="28"/>
          <w:szCs w:val="28"/>
        </w:rPr>
        <w:t>БРВ - безрецидивная выживаемость</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 xml:space="preserve">КТ - компьютерная томография </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ММ – множественная миелома</w:t>
      </w:r>
    </w:p>
    <w:p w:rsidR="00B86484" w:rsidRDefault="00B86484" w:rsidP="00B86484">
      <w:pPr>
        <w:spacing w:line="360" w:lineRule="auto"/>
        <w:jc w:val="both"/>
        <w:rPr>
          <w:rFonts w:ascii="Times New Roman" w:hAnsi="Times New Roman"/>
          <w:sz w:val="28"/>
          <w:szCs w:val="28"/>
        </w:rPr>
      </w:pPr>
      <w:r>
        <w:rPr>
          <w:rFonts w:ascii="Times New Roman" w:hAnsi="Times New Roman"/>
          <w:sz w:val="28"/>
          <w:szCs w:val="28"/>
        </w:rPr>
        <w:t xml:space="preserve">МО – минимальный ответ  </w:t>
      </w:r>
    </w:p>
    <w:p w:rsidR="00B5580D" w:rsidRDefault="00B5580D" w:rsidP="00772632">
      <w:pPr>
        <w:spacing w:line="360" w:lineRule="auto"/>
        <w:jc w:val="both"/>
        <w:rPr>
          <w:rFonts w:ascii="Times New Roman" w:hAnsi="Times New Roman"/>
          <w:sz w:val="28"/>
          <w:szCs w:val="28"/>
        </w:rPr>
      </w:pPr>
      <w:r>
        <w:rPr>
          <w:rFonts w:ascii="Times New Roman" w:hAnsi="Times New Roman"/>
          <w:sz w:val="28"/>
          <w:szCs w:val="28"/>
        </w:rPr>
        <w:t>ОВ</w:t>
      </w:r>
      <w:r w:rsidR="00B86484">
        <w:rPr>
          <w:rFonts w:ascii="Times New Roman" w:hAnsi="Times New Roman"/>
          <w:sz w:val="28"/>
          <w:szCs w:val="28"/>
        </w:rPr>
        <w:t xml:space="preserve"> </w:t>
      </w:r>
      <w:r>
        <w:rPr>
          <w:rFonts w:ascii="Times New Roman" w:hAnsi="Times New Roman"/>
          <w:sz w:val="28"/>
          <w:szCs w:val="28"/>
        </w:rPr>
        <w:t>-</w:t>
      </w:r>
      <w:r w:rsidR="00B86484">
        <w:rPr>
          <w:rFonts w:ascii="Times New Roman" w:hAnsi="Times New Roman"/>
          <w:sz w:val="28"/>
          <w:szCs w:val="28"/>
        </w:rPr>
        <w:t xml:space="preserve"> </w:t>
      </w:r>
      <w:r>
        <w:rPr>
          <w:rFonts w:ascii="Times New Roman" w:hAnsi="Times New Roman"/>
          <w:sz w:val="28"/>
          <w:szCs w:val="28"/>
        </w:rPr>
        <w:t>общая выжываемость</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 xml:space="preserve">IPI - международный прогностический индекс (Internationalprognosticindex)  </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 xml:space="preserve">ПР - полная ремиссия  </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 xml:space="preserve">ПО – полный ответ  </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ПХТ – полихимиотерапия</w:t>
      </w:r>
    </w:p>
    <w:p w:rsidR="00772632" w:rsidRDefault="00772632" w:rsidP="00772632">
      <w:pPr>
        <w:spacing w:line="360" w:lineRule="auto"/>
        <w:jc w:val="both"/>
        <w:rPr>
          <w:rFonts w:ascii="Times New Roman" w:hAnsi="Times New Roman"/>
          <w:sz w:val="28"/>
          <w:szCs w:val="28"/>
        </w:rPr>
      </w:pPr>
      <w:r>
        <w:rPr>
          <w:rFonts w:ascii="Times New Roman" w:hAnsi="Times New Roman"/>
          <w:sz w:val="28"/>
          <w:szCs w:val="28"/>
        </w:rPr>
        <w:t>ХТ - химиотерапия</w:t>
      </w:r>
    </w:p>
    <w:p w:rsidR="00772632" w:rsidRDefault="00772632" w:rsidP="00772632">
      <w:pPr>
        <w:spacing w:line="360" w:lineRule="auto"/>
        <w:jc w:val="both"/>
        <w:rPr>
          <w:rFonts w:ascii="Times New Roman" w:hAnsi="Times New Roman"/>
          <w:sz w:val="28"/>
          <w:szCs w:val="28"/>
          <w:lang w:val="uz-Cyrl-UZ"/>
        </w:rPr>
      </w:pPr>
      <w:r>
        <w:rPr>
          <w:rFonts w:ascii="Times New Roman" w:hAnsi="Times New Roman"/>
          <w:sz w:val="28"/>
          <w:szCs w:val="28"/>
        </w:rPr>
        <w:t xml:space="preserve">ТNF – </w:t>
      </w:r>
      <w:r>
        <w:rPr>
          <w:rFonts w:ascii="Times New Roman" w:hAnsi="Times New Roman"/>
          <w:sz w:val="28"/>
          <w:szCs w:val="28"/>
          <w:lang w:val="uz-Cyrl-UZ"/>
        </w:rPr>
        <w:t>фактор некроза опухоли</w:t>
      </w:r>
    </w:p>
    <w:p w:rsidR="00772632" w:rsidRDefault="00772632" w:rsidP="00772632">
      <w:pPr>
        <w:spacing w:line="360" w:lineRule="auto"/>
        <w:jc w:val="both"/>
        <w:rPr>
          <w:rFonts w:ascii="Times New Roman" w:hAnsi="Times New Roman"/>
          <w:sz w:val="28"/>
          <w:szCs w:val="28"/>
          <w:lang w:val="uz-Cyrl-UZ"/>
        </w:rPr>
      </w:pPr>
      <w:r>
        <w:rPr>
          <w:rFonts w:ascii="Times New Roman" w:hAnsi="Times New Roman"/>
          <w:sz w:val="28"/>
          <w:szCs w:val="28"/>
          <w:lang w:val="uz-Cyrl-UZ"/>
        </w:rPr>
        <w:t xml:space="preserve">ТГСК – трансплантация гемопоэтических стволовых клеток </w:t>
      </w:r>
    </w:p>
    <w:p w:rsidR="00772632" w:rsidRDefault="00772632" w:rsidP="00772632">
      <w:pPr>
        <w:spacing w:line="360" w:lineRule="auto"/>
        <w:jc w:val="both"/>
        <w:rPr>
          <w:rFonts w:ascii="Times New Roman" w:hAnsi="Times New Roman"/>
          <w:sz w:val="28"/>
          <w:szCs w:val="28"/>
          <w:lang w:val="uz-Cyrl-UZ"/>
        </w:rPr>
      </w:pPr>
      <w:r>
        <w:rPr>
          <w:rFonts w:ascii="Times New Roman" w:hAnsi="Times New Roman"/>
          <w:sz w:val="28"/>
          <w:szCs w:val="28"/>
          <w:lang w:val="uz-Cyrl-UZ"/>
        </w:rPr>
        <w:t>аутоТГСК - аутологичная трансплантация гемопоэтических стволовых клеток</w:t>
      </w:r>
    </w:p>
    <w:p w:rsidR="00772632" w:rsidRDefault="00772632" w:rsidP="00772632">
      <w:pPr>
        <w:spacing w:line="360" w:lineRule="auto"/>
        <w:jc w:val="both"/>
        <w:rPr>
          <w:rFonts w:ascii="Times New Roman" w:hAnsi="Times New Roman"/>
          <w:sz w:val="28"/>
          <w:szCs w:val="28"/>
          <w:lang w:val="uz-Cyrl-UZ"/>
        </w:rPr>
      </w:pPr>
      <w:r>
        <w:rPr>
          <w:rFonts w:ascii="Times New Roman" w:hAnsi="Times New Roman"/>
          <w:sz w:val="28"/>
          <w:szCs w:val="28"/>
          <w:lang w:val="uz-Cyrl-UZ"/>
        </w:rPr>
        <w:t xml:space="preserve">BJ - белок Бенс-Джонса </w:t>
      </w:r>
    </w:p>
    <w:p w:rsidR="00772632" w:rsidRDefault="00772632" w:rsidP="00772632">
      <w:pPr>
        <w:spacing w:line="360" w:lineRule="auto"/>
        <w:jc w:val="both"/>
        <w:rPr>
          <w:rFonts w:ascii="Times New Roman" w:hAnsi="Times New Roman"/>
          <w:sz w:val="28"/>
          <w:szCs w:val="28"/>
          <w:lang w:val="uz-Cyrl-UZ"/>
        </w:rPr>
      </w:pPr>
      <w:r>
        <w:rPr>
          <w:rFonts w:ascii="Times New Roman" w:hAnsi="Times New Roman"/>
          <w:sz w:val="28"/>
          <w:szCs w:val="28"/>
          <w:lang w:val="en-US"/>
        </w:rPr>
        <w:t>γ</w:t>
      </w:r>
      <w:r>
        <w:rPr>
          <w:rFonts w:ascii="Times New Roman" w:hAnsi="Times New Roman"/>
          <w:sz w:val="28"/>
          <w:szCs w:val="28"/>
          <w:lang w:val="uz-Cyrl-UZ"/>
        </w:rPr>
        <w:t xml:space="preserve"> МГ – гамма микроглобулин</w:t>
      </w:r>
    </w:p>
    <w:p w:rsidR="00772632" w:rsidRDefault="00772632" w:rsidP="00772632">
      <w:pPr>
        <w:spacing w:line="360" w:lineRule="auto"/>
        <w:jc w:val="both"/>
        <w:rPr>
          <w:rFonts w:ascii="Times New Roman" w:hAnsi="Times New Roman"/>
          <w:sz w:val="28"/>
          <w:szCs w:val="28"/>
          <w:lang w:val="uz-Cyrl-UZ"/>
        </w:rPr>
      </w:pPr>
      <w:r>
        <w:rPr>
          <w:rFonts w:ascii="Times New Roman" w:hAnsi="Times New Roman"/>
          <w:sz w:val="28"/>
          <w:szCs w:val="28"/>
          <w:lang w:val="en-US"/>
        </w:rPr>
        <w:t>β</w:t>
      </w:r>
      <w:r>
        <w:rPr>
          <w:rFonts w:ascii="Times New Roman" w:hAnsi="Times New Roman"/>
          <w:sz w:val="28"/>
          <w:szCs w:val="28"/>
          <w:vertAlign w:val="subscript"/>
          <w:lang w:val="uz-Cyrl-UZ"/>
        </w:rPr>
        <w:t>2</w:t>
      </w:r>
      <w:r>
        <w:rPr>
          <w:rFonts w:ascii="Times New Roman" w:hAnsi="Times New Roman"/>
          <w:sz w:val="28"/>
          <w:szCs w:val="28"/>
          <w:lang w:val="uz-Cyrl-UZ"/>
        </w:rPr>
        <w:t xml:space="preserve"> МГ – бетта микроглобулин</w:t>
      </w:r>
    </w:p>
    <w:p w:rsidR="00772632" w:rsidRDefault="00772632" w:rsidP="00772632">
      <w:pPr>
        <w:spacing w:line="360" w:lineRule="auto"/>
        <w:jc w:val="both"/>
        <w:rPr>
          <w:rFonts w:ascii="Times New Roman" w:hAnsi="Times New Roman"/>
          <w:sz w:val="28"/>
          <w:szCs w:val="28"/>
          <w:lang w:val="uz-Cyrl-UZ"/>
        </w:rPr>
      </w:pPr>
      <w:r>
        <w:rPr>
          <w:rFonts w:ascii="Times New Roman" w:hAnsi="Times New Roman"/>
          <w:sz w:val="28"/>
          <w:szCs w:val="28"/>
          <w:lang w:val="uz-Cyrl-UZ"/>
        </w:rPr>
        <w:t xml:space="preserve">Ig – иммуноглобулин  </w:t>
      </w:r>
    </w:p>
    <w:p w:rsidR="00772632" w:rsidRDefault="00772632" w:rsidP="003011F1">
      <w:pPr>
        <w:tabs>
          <w:tab w:val="right" w:pos="9071"/>
        </w:tabs>
        <w:spacing w:line="360" w:lineRule="auto"/>
        <w:jc w:val="both"/>
      </w:pPr>
      <w:r>
        <w:rPr>
          <w:rFonts w:ascii="Times New Roman" w:hAnsi="Times New Roman"/>
          <w:sz w:val="28"/>
          <w:szCs w:val="28"/>
          <w:lang w:val="en-US"/>
        </w:rPr>
        <w:t>IL</w:t>
      </w:r>
      <w:r>
        <w:rPr>
          <w:rFonts w:ascii="Times New Roman" w:hAnsi="Times New Roman"/>
          <w:sz w:val="28"/>
          <w:szCs w:val="28"/>
          <w:lang w:val="uz-Cyrl-UZ"/>
        </w:rPr>
        <w:t xml:space="preserve"> - интерлейкин</w:t>
      </w:r>
      <w:r w:rsidR="003011F1">
        <w:rPr>
          <w:rFonts w:ascii="Times New Roman" w:hAnsi="Times New Roman"/>
          <w:sz w:val="28"/>
          <w:szCs w:val="28"/>
          <w:lang w:val="uz-Cyrl-UZ"/>
        </w:rPr>
        <w:tab/>
      </w:r>
    </w:p>
    <w:p w:rsidR="00D754DD" w:rsidRPr="00CF210F" w:rsidRDefault="00E41F46" w:rsidP="00CF210F">
      <w:pPr>
        <w:spacing w:after="0" w:line="360" w:lineRule="auto"/>
        <w:ind w:firstLine="709"/>
        <w:jc w:val="center"/>
        <w:rPr>
          <w:rFonts w:ascii="Times New Roman" w:hAnsi="Times New Roman"/>
          <w:sz w:val="28"/>
          <w:szCs w:val="28"/>
        </w:rPr>
      </w:pPr>
      <w:r w:rsidRPr="00CF210F">
        <w:rPr>
          <w:rFonts w:ascii="Times New Roman" w:hAnsi="Times New Roman"/>
          <w:b/>
          <w:bCs/>
          <w:sz w:val="28"/>
          <w:szCs w:val="28"/>
        </w:rPr>
        <w:lastRenderedPageBreak/>
        <w:t>ВВЕДЕНИЕ (аннотация докторской (</w:t>
      </w:r>
      <w:r w:rsidRPr="00CF210F">
        <w:rPr>
          <w:rFonts w:ascii="Times New Roman" w:hAnsi="Times New Roman"/>
          <w:b/>
          <w:bCs/>
          <w:sz w:val="28"/>
          <w:szCs w:val="28"/>
          <w:lang w:val="en-US"/>
        </w:rPr>
        <w:t>PhD</w:t>
      </w:r>
      <w:r w:rsidRPr="00CF210F">
        <w:rPr>
          <w:rFonts w:ascii="Times New Roman" w:hAnsi="Times New Roman"/>
          <w:b/>
          <w:bCs/>
          <w:sz w:val="28"/>
          <w:szCs w:val="28"/>
        </w:rPr>
        <w:t>) диссертации)</w:t>
      </w:r>
    </w:p>
    <w:bookmarkEnd w:id="0"/>
    <w:bookmarkEnd w:id="1"/>
    <w:p w:rsidR="008135F4" w:rsidRPr="00CF210F" w:rsidRDefault="008135F4" w:rsidP="00CF210F">
      <w:pPr>
        <w:widowControl w:val="0"/>
        <w:spacing w:after="0" w:line="360" w:lineRule="auto"/>
        <w:ind w:firstLine="708"/>
        <w:jc w:val="both"/>
        <w:rPr>
          <w:rFonts w:ascii="Times New Roman" w:eastAsia="Calibri" w:hAnsi="Times New Roman"/>
          <w:sz w:val="28"/>
          <w:szCs w:val="28"/>
        </w:rPr>
      </w:pPr>
      <w:r w:rsidRPr="00CF210F">
        <w:rPr>
          <w:rFonts w:ascii="Times New Roman" w:eastAsia="Calibri" w:hAnsi="Times New Roman"/>
          <w:b/>
          <w:sz w:val="28"/>
          <w:szCs w:val="28"/>
        </w:rPr>
        <w:t xml:space="preserve">Актуальность и востребованность темы диссертации. </w:t>
      </w:r>
      <w:bookmarkStart w:id="2" w:name="_Hlk20246618"/>
      <w:r w:rsidRPr="00CF210F">
        <w:rPr>
          <w:rFonts w:ascii="Times New Roman" w:eastAsia="TimesNewRoman" w:hAnsi="Times New Roman"/>
          <w:sz w:val="28"/>
          <w:szCs w:val="28"/>
        </w:rPr>
        <w:t>В настоящее время все больш</w:t>
      </w:r>
      <w:r w:rsidRPr="00CF210F">
        <w:rPr>
          <w:rFonts w:ascii="Times New Roman" w:eastAsia="TimesNewRoman" w:hAnsi="Times New Roman"/>
          <w:sz w:val="28"/>
          <w:szCs w:val="28"/>
          <w:lang w:val="uz-Cyrl-UZ"/>
        </w:rPr>
        <w:t>ее</w:t>
      </w:r>
      <w:r w:rsidRPr="00CF210F">
        <w:rPr>
          <w:rFonts w:ascii="Times New Roman" w:eastAsia="TimesNewRoman" w:hAnsi="Times New Roman"/>
          <w:sz w:val="28"/>
          <w:szCs w:val="28"/>
        </w:rPr>
        <w:t xml:space="preserve"> внимание ученых задействовано в изучении </w:t>
      </w:r>
      <w:r w:rsidRPr="00CF210F">
        <w:rPr>
          <w:rFonts w:ascii="Times New Roman" w:eastAsia="TimesNewRoman" w:hAnsi="Times New Roman"/>
          <w:sz w:val="28"/>
          <w:szCs w:val="28"/>
          <w:lang w:val="uz-Cyrl-UZ"/>
        </w:rPr>
        <w:t xml:space="preserve">опухолевых </w:t>
      </w:r>
      <w:r w:rsidRPr="00CF210F">
        <w:rPr>
          <w:rFonts w:ascii="Times New Roman" w:eastAsia="TimesNewRoman" w:hAnsi="Times New Roman"/>
          <w:sz w:val="28"/>
          <w:szCs w:val="28"/>
        </w:rPr>
        <w:t xml:space="preserve">заболеваний </w:t>
      </w:r>
      <w:r w:rsidRPr="00CF210F">
        <w:rPr>
          <w:rFonts w:ascii="Times New Roman" w:eastAsia="TimesNewRoman" w:hAnsi="Times New Roman"/>
          <w:sz w:val="28"/>
          <w:szCs w:val="28"/>
          <w:lang w:val="uz-Cyrl-UZ"/>
        </w:rPr>
        <w:t>системы крови, которые</w:t>
      </w:r>
      <w:r w:rsidRPr="00CF210F">
        <w:rPr>
          <w:rFonts w:ascii="Times New Roman" w:eastAsia="TimesNewRoman" w:hAnsi="Times New Roman"/>
          <w:sz w:val="28"/>
          <w:szCs w:val="28"/>
        </w:rPr>
        <w:t xml:space="preserve"> представляют собой сложную пробле</w:t>
      </w:r>
      <w:r w:rsidR="00CA4766">
        <w:rPr>
          <w:rFonts w:ascii="Times New Roman" w:eastAsia="TimesNewRoman" w:hAnsi="Times New Roman"/>
          <w:sz w:val="28"/>
          <w:szCs w:val="28"/>
        </w:rPr>
        <w:t>м</w:t>
      </w:r>
      <w:r w:rsidR="00CA4766">
        <w:rPr>
          <w:rFonts w:ascii="Times New Roman" w:eastAsia="TimesNewRoman" w:hAnsi="Times New Roman"/>
          <w:sz w:val="28"/>
          <w:szCs w:val="28"/>
          <w:lang w:val="uz-Cyrl-UZ"/>
        </w:rPr>
        <w:t>у</w:t>
      </w:r>
      <w:r w:rsidRPr="00CF210F">
        <w:rPr>
          <w:rFonts w:ascii="Times New Roman" w:eastAsia="TimesNewRoman" w:hAnsi="Times New Roman"/>
          <w:sz w:val="28"/>
          <w:szCs w:val="28"/>
        </w:rPr>
        <w:t>,</w:t>
      </w:r>
      <w:r w:rsidR="00CA4766">
        <w:rPr>
          <w:rFonts w:ascii="Times New Roman" w:eastAsia="TimesNewRoman" w:hAnsi="Times New Roman"/>
          <w:sz w:val="28"/>
          <w:szCs w:val="28"/>
          <w:lang w:val="uz-Cyrl-UZ"/>
        </w:rPr>
        <w:t xml:space="preserve"> </w:t>
      </w:r>
      <w:r w:rsidRPr="00CF210F">
        <w:rPr>
          <w:rFonts w:ascii="Times New Roman" w:eastAsia="TimesNewRoman" w:hAnsi="Times New Roman"/>
          <w:sz w:val="28"/>
          <w:szCs w:val="28"/>
        </w:rPr>
        <w:t xml:space="preserve"> медико-социальной значимости. Это связано, прежде всего, с ростом уровня онкогематологической заболеваемости и высокой распространенностью среди все</w:t>
      </w:r>
      <w:r w:rsidR="00CF7CD8">
        <w:rPr>
          <w:rFonts w:ascii="Times New Roman" w:eastAsia="TimesNewRoman" w:hAnsi="Times New Roman"/>
          <w:sz w:val="28"/>
          <w:szCs w:val="28"/>
          <w:lang w:val="uz-Cyrl-UZ"/>
        </w:rPr>
        <w:t>х</w:t>
      </w:r>
      <w:r w:rsidRPr="00CF210F">
        <w:rPr>
          <w:rFonts w:ascii="Times New Roman" w:eastAsia="TimesNewRoman" w:hAnsi="Times New Roman"/>
          <w:sz w:val="28"/>
          <w:szCs w:val="28"/>
        </w:rPr>
        <w:t xml:space="preserve"> возрастн</w:t>
      </w:r>
      <w:r w:rsidR="00CF7CD8">
        <w:rPr>
          <w:rFonts w:ascii="Times New Roman" w:eastAsia="TimesNewRoman" w:hAnsi="Times New Roman"/>
          <w:sz w:val="28"/>
          <w:szCs w:val="28"/>
          <w:lang w:val="uz-Cyrl-UZ"/>
        </w:rPr>
        <w:t>ых</w:t>
      </w:r>
      <w:r w:rsidRPr="00CF210F">
        <w:rPr>
          <w:rFonts w:ascii="Times New Roman" w:eastAsia="TimesNewRoman" w:hAnsi="Times New Roman"/>
          <w:sz w:val="28"/>
          <w:szCs w:val="28"/>
        </w:rPr>
        <w:t xml:space="preserve"> категори</w:t>
      </w:r>
      <w:r w:rsidR="00CF7CD8">
        <w:rPr>
          <w:rFonts w:ascii="Times New Roman" w:eastAsia="TimesNewRoman" w:hAnsi="Times New Roman"/>
          <w:sz w:val="28"/>
          <w:szCs w:val="28"/>
          <w:lang w:val="uz-Cyrl-UZ"/>
        </w:rPr>
        <w:t>и</w:t>
      </w:r>
      <w:r w:rsidRPr="00CF210F">
        <w:rPr>
          <w:rFonts w:ascii="Times New Roman" w:eastAsia="TimesNewRoman" w:hAnsi="Times New Roman"/>
          <w:sz w:val="28"/>
          <w:szCs w:val="28"/>
        </w:rPr>
        <w:t xml:space="preserve"> людей. Наряду со всеми опухолевыми заболевания системы крови особый интерес приобретает множественная миелома, которая не так давно считалась довольно редкой патологией, которая встречалась только среди лиц пожилого и старческого возраста. Однако</w:t>
      </w:r>
      <w:r w:rsidRPr="00CF210F">
        <w:rPr>
          <w:rFonts w:ascii="Times New Roman" w:eastAsia="TimesNewRoman" w:hAnsi="Times New Roman"/>
          <w:sz w:val="28"/>
          <w:szCs w:val="28"/>
          <w:lang w:val="uz-Cyrl-UZ"/>
        </w:rPr>
        <w:t xml:space="preserve">, </w:t>
      </w:r>
      <w:r w:rsidRPr="00CF210F">
        <w:rPr>
          <w:rFonts w:ascii="Times New Roman" w:eastAsia="TimesNewRoman" w:hAnsi="Times New Roman"/>
          <w:sz w:val="28"/>
          <w:szCs w:val="28"/>
        </w:rPr>
        <w:t xml:space="preserve"> за последнее десятилетие </w:t>
      </w:r>
      <w:r w:rsidRPr="00CF210F">
        <w:rPr>
          <w:rFonts w:ascii="Times New Roman" w:eastAsia="TimesNewRoman" w:hAnsi="Times New Roman"/>
          <w:sz w:val="28"/>
          <w:szCs w:val="28"/>
          <w:lang w:val="uz-Cyrl-UZ"/>
        </w:rPr>
        <w:t>множественная миелома</w:t>
      </w:r>
      <w:r w:rsidRPr="00CF210F">
        <w:rPr>
          <w:rFonts w:ascii="Times New Roman" w:eastAsia="TimesNewRoman" w:hAnsi="Times New Roman"/>
          <w:sz w:val="28"/>
          <w:szCs w:val="28"/>
        </w:rPr>
        <w:t xml:space="preserve"> стала наблюдаться и среди молодой возрастной категории, отличаясь агрессивным и тяжелым течением, зачастую приводя в течение уже первых лет к летальному исходу</w:t>
      </w:r>
      <w:r w:rsidRPr="00CF210F">
        <w:rPr>
          <w:rStyle w:val="af"/>
          <w:rFonts w:ascii="Times New Roman" w:eastAsia="Calibri" w:hAnsi="Times New Roman"/>
          <w:sz w:val="28"/>
          <w:szCs w:val="28"/>
        </w:rPr>
        <w:footnoteReference w:id="2"/>
      </w:r>
      <w:r w:rsidRPr="00CF210F">
        <w:rPr>
          <w:rFonts w:ascii="Times New Roman" w:eastAsia="TimesNewRoman" w:hAnsi="Times New Roman"/>
          <w:sz w:val="28"/>
          <w:szCs w:val="28"/>
        </w:rPr>
        <w:t xml:space="preserve">. На сегодня </w:t>
      </w:r>
      <w:r w:rsidRPr="00CF210F">
        <w:rPr>
          <w:rFonts w:ascii="Times New Roman" w:eastAsia="TimesNewRoman" w:hAnsi="Times New Roman"/>
          <w:sz w:val="28"/>
          <w:szCs w:val="28"/>
          <w:lang w:val="uz-Cyrl-UZ"/>
        </w:rPr>
        <w:t xml:space="preserve">множественная миелома </w:t>
      </w:r>
      <w:r w:rsidRPr="00CF210F">
        <w:rPr>
          <w:rFonts w:ascii="Times New Roman" w:eastAsia="TimesNewRoman" w:hAnsi="Times New Roman"/>
          <w:sz w:val="28"/>
          <w:szCs w:val="28"/>
        </w:rPr>
        <w:t xml:space="preserve">занимает 2-е место </w:t>
      </w:r>
      <w:r w:rsidRPr="00CF210F">
        <w:rPr>
          <w:rFonts w:ascii="Times New Roman" w:eastAsia="Calibri" w:hAnsi="Times New Roman"/>
          <w:sz w:val="28"/>
          <w:szCs w:val="28"/>
        </w:rPr>
        <w:t>по своей распространенности среди всей онкогематологической патологии, частота встречаемости которой увеличивается с возрастом, достигая 20 на 100 000 человек в год в пожилой возрастной группе.</w:t>
      </w:r>
    </w:p>
    <w:p w:rsidR="00074BAD" w:rsidRDefault="008135F4" w:rsidP="00CF210F">
      <w:pPr>
        <w:widowControl w:val="0"/>
        <w:spacing w:after="0" w:line="360" w:lineRule="auto"/>
        <w:ind w:firstLine="708"/>
        <w:jc w:val="both"/>
        <w:rPr>
          <w:rFonts w:ascii="Times New Roman" w:eastAsia="Times New Roman" w:hAnsi="Times New Roman"/>
          <w:sz w:val="28"/>
          <w:szCs w:val="28"/>
          <w:lang w:val="uz-Cyrl-UZ"/>
        </w:rPr>
      </w:pPr>
      <w:r w:rsidRPr="00CF210F">
        <w:rPr>
          <w:rFonts w:ascii="Times New Roman" w:eastAsia="Times New Roman" w:hAnsi="Times New Roman"/>
          <w:sz w:val="28"/>
          <w:szCs w:val="28"/>
          <w:lang w:val="uz-Cyrl-UZ"/>
        </w:rPr>
        <w:t xml:space="preserve">В мире проводятся исследования по </w:t>
      </w:r>
      <w:r w:rsidRPr="00CF210F">
        <w:rPr>
          <w:rFonts w:ascii="Times New Roman" w:eastAsia="Times New Roman" w:hAnsi="Times New Roman"/>
          <w:sz w:val="28"/>
          <w:szCs w:val="28"/>
        </w:rPr>
        <w:t xml:space="preserve">изучению различных аспектов </w:t>
      </w:r>
      <w:r w:rsidRPr="00CF210F">
        <w:rPr>
          <w:rFonts w:ascii="Times New Roman" w:eastAsia="Times New Roman" w:hAnsi="Times New Roman"/>
          <w:sz w:val="28"/>
          <w:szCs w:val="28"/>
          <w:lang w:val="uz-Cyrl-UZ"/>
        </w:rPr>
        <w:t>множественной миеломы</w:t>
      </w:r>
      <w:r w:rsidRPr="00CF210F">
        <w:rPr>
          <w:rFonts w:ascii="Times New Roman" w:eastAsia="Times New Roman" w:hAnsi="Times New Roman"/>
          <w:sz w:val="28"/>
          <w:szCs w:val="28"/>
        </w:rPr>
        <w:t>, в которых задействованы не только  клиницисты и морфологи, но и биологи, иммунологи, генетики и другие специалисты, благодаря совместной работе которых достигнуты значительные успехи в плане понимания сложных механизмов развития, способствовавшие усовершенствованию и разработке новых методов</w:t>
      </w:r>
      <w:r w:rsidRPr="00CF210F">
        <w:rPr>
          <w:rFonts w:ascii="Times New Roman" w:eastAsia="Times New Roman" w:hAnsi="Times New Roman"/>
          <w:sz w:val="28"/>
          <w:szCs w:val="28"/>
          <w:lang w:val="uz-Cyrl-UZ"/>
        </w:rPr>
        <w:t xml:space="preserve"> диагностики и </w:t>
      </w:r>
      <w:r w:rsidRPr="00CF210F">
        <w:rPr>
          <w:rFonts w:ascii="Times New Roman" w:eastAsia="Times New Roman" w:hAnsi="Times New Roman"/>
          <w:sz w:val="28"/>
          <w:szCs w:val="28"/>
        </w:rPr>
        <w:t xml:space="preserve"> лечения. В частности, результатами множества исследований показано, что в трансформации плазматических клеток в злокачественные играют важную роль как генетические, так и средовые факторы. Диагностика и лечение </w:t>
      </w:r>
    </w:p>
    <w:p w:rsidR="008135F4" w:rsidRPr="00CF210F" w:rsidRDefault="008135F4" w:rsidP="00074BAD">
      <w:pPr>
        <w:widowControl w:val="0"/>
        <w:spacing w:after="0" w:line="360" w:lineRule="auto"/>
        <w:jc w:val="both"/>
        <w:rPr>
          <w:rFonts w:ascii="Times New Roman" w:eastAsia="Calibri" w:hAnsi="Times New Roman"/>
          <w:sz w:val="28"/>
          <w:szCs w:val="28"/>
          <w:lang w:eastAsia="en-US"/>
        </w:rPr>
      </w:pPr>
      <w:r w:rsidRPr="00CF210F">
        <w:rPr>
          <w:rFonts w:ascii="Times New Roman" w:eastAsia="Times New Roman" w:hAnsi="Times New Roman"/>
          <w:sz w:val="28"/>
          <w:szCs w:val="28"/>
          <w:lang w:val="uz-Cyrl-UZ"/>
        </w:rPr>
        <w:t>множественной миеломы</w:t>
      </w:r>
      <w:r w:rsidRPr="00CF210F">
        <w:rPr>
          <w:rFonts w:ascii="Times New Roman" w:eastAsia="Times New Roman" w:hAnsi="Times New Roman"/>
          <w:sz w:val="28"/>
          <w:szCs w:val="28"/>
        </w:rPr>
        <w:t xml:space="preserve"> зачастую сопровождается трудностями, что</w:t>
      </w:r>
      <w:r w:rsidR="00CA4766" w:rsidRPr="00CA4766">
        <w:rPr>
          <w:rFonts w:ascii="Times New Roman" w:eastAsia="Times New Roman" w:hAnsi="Times New Roman"/>
          <w:sz w:val="28"/>
          <w:szCs w:val="28"/>
        </w:rPr>
        <w:t xml:space="preserve"> </w:t>
      </w:r>
      <w:r w:rsidR="00CA4766" w:rsidRPr="00CF210F">
        <w:rPr>
          <w:rFonts w:ascii="Times New Roman" w:eastAsia="Times New Roman" w:hAnsi="Times New Roman"/>
          <w:sz w:val="28"/>
          <w:szCs w:val="28"/>
        </w:rPr>
        <w:lastRenderedPageBreak/>
        <w:t>связано схожестью ее клинических и лабораторных проявлений с другими</w:t>
      </w:r>
      <w:r w:rsidRPr="00CF210F">
        <w:rPr>
          <w:rFonts w:ascii="Times New Roman" w:eastAsia="Times New Roman" w:hAnsi="Times New Roman"/>
          <w:sz w:val="28"/>
          <w:szCs w:val="28"/>
        </w:rPr>
        <w:t xml:space="preserve"> состояниями и заболеваниями. </w:t>
      </w:r>
      <w:r w:rsidRPr="00CF210F">
        <w:rPr>
          <w:rFonts w:ascii="Times New Roman" w:eastAsia="Times New Roman" w:hAnsi="Times New Roman"/>
          <w:spacing w:val="-3"/>
          <w:sz w:val="28"/>
          <w:szCs w:val="28"/>
        </w:rPr>
        <w:t xml:space="preserve">Одним из важных диагностических критериев </w:t>
      </w:r>
      <w:r w:rsidRPr="00CF210F">
        <w:rPr>
          <w:rFonts w:ascii="Times New Roman" w:eastAsia="Times New Roman" w:hAnsi="Times New Roman"/>
          <w:spacing w:val="-3"/>
          <w:sz w:val="28"/>
          <w:szCs w:val="28"/>
          <w:lang w:val="uz-Cyrl-UZ"/>
        </w:rPr>
        <w:t>множественой миеломы</w:t>
      </w:r>
      <w:r w:rsidRPr="00CF210F">
        <w:rPr>
          <w:rFonts w:ascii="Times New Roman" w:eastAsia="Times New Roman" w:hAnsi="Times New Roman"/>
          <w:spacing w:val="-3"/>
          <w:sz w:val="28"/>
          <w:szCs w:val="28"/>
        </w:rPr>
        <w:t>, позволяющим определить течение и прогноз заболевания является наличие патологического моноклонального белка в сыворотке крови</w:t>
      </w:r>
      <w:r w:rsidRPr="00CF210F">
        <w:rPr>
          <w:rFonts w:ascii="Times New Roman" w:eastAsia="Times New Roman" w:hAnsi="Times New Roman"/>
          <w:spacing w:val="-3"/>
          <w:sz w:val="28"/>
          <w:szCs w:val="28"/>
          <w:lang w:val="uz-Cyrl-UZ"/>
        </w:rPr>
        <w:t>, в</w:t>
      </w:r>
      <w:r w:rsidRPr="00CF210F">
        <w:rPr>
          <w:rFonts w:ascii="Times New Roman" w:eastAsia="Calibri" w:hAnsi="Times New Roman"/>
          <w:sz w:val="28"/>
          <w:szCs w:val="28"/>
          <w:lang w:eastAsia="en-US"/>
        </w:rPr>
        <w:t xml:space="preserve"> зависимости от содержания </w:t>
      </w:r>
      <w:r w:rsidRPr="00CF210F">
        <w:rPr>
          <w:rFonts w:ascii="Times New Roman" w:eastAsia="Calibri" w:hAnsi="Times New Roman"/>
          <w:sz w:val="28"/>
          <w:szCs w:val="28"/>
          <w:lang w:val="uz-Cyrl-UZ" w:eastAsia="en-US"/>
        </w:rPr>
        <w:t>которого</w:t>
      </w:r>
      <w:r w:rsidRPr="00CF210F">
        <w:rPr>
          <w:rFonts w:ascii="Times New Roman" w:eastAsia="Calibri" w:hAnsi="Times New Roman"/>
          <w:sz w:val="28"/>
          <w:szCs w:val="28"/>
          <w:lang w:eastAsia="en-US"/>
        </w:rPr>
        <w:t xml:space="preserve"> в сочетании с рядом других диагностических показателей можно оценивать результаты лечения </w:t>
      </w:r>
      <w:r w:rsidRPr="00CF210F">
        <w:rPr>
          <w:rFonts w:ascii="Times New Roman" w:eastAsia="Calibri" w:hAnsi="Times New Roman"/>
          <w:sz w:val="28"/>
          <w:szCs w:val="28"/>
          <w:lang w:val="uz-Cyrl-UZ" w:eastAsia="en-US"/>
        </w:rPr>
        <w:t>заболевания</w:t>
      </w:r>
      <w:r w:rsidRPr="00CF210F">
        <w:rPr>
          <w:rFonts w:ascii="Times New Roman" w:eastAsia="Calibri" w:hAnsi="Times New Roman"/>
          <w:sz w:val="28"/>
          <w:szCs w:val="28"/>
          <w:lang w:eastAsia="en-US"/>
        </w:rPr>
        <w:t>, определяя частичную или полную ремиссию</w:t>
      </w:r>
      <w:r w:rsidRPr="00CF210F">
        <w:rPr>
          <w:rFonts w:ascii="Times New Roman" w:eastAsia="Calibri" w:hAnsi="Times New Roman"/>
          <w:sz w:val="28"/>
          <w:szCs w:val="28"/>
          <w:lang w:val="uz-Cyrl-UZ" w:eastAsia="en-US"/>
        </w:rPr>
        <w:t xml:space="preserve"> заболевания</w:t>
      </w:r>
      <w:r w:rsidRPr="00CF210F">
        <w:rPr>
          <w:rFonts w:ascii="Times New Roman" w:eastAsia="Calibri" w:hAnsi="Times New Roman"/>
          <w:sz w:val="28"/>
          <w:szCs w:val="28"/>
          <w:lang w:eastAsia="en-US"/>
        </w:rPr>
        <w:t xml:space="preserve">. </w:t>
      </w:r>
    </w:p>
    <w:p w:rsidR="008135F4" w:rsidRPr="00CF210F" w:rsidRDefault="008135F4" w:rsidP="00CF210F">
      <w:pPr>
        <w:autoSpaceDE w:val="0"/>
        <w:autoSpaceDN w:val="0"/>
        <w:adjustRightInd w:val="0"/>
        <w:spacing w:after="0" w:line="360" w:lineRule="auto"/>
        <w:jc w:val="both"/>
        <w:rPr>
          <w:rFonts w:ascii="Times New Roman" w:eastAsia="Calibri" w:hAnsi="Times New Roman"/>
          <w:sz w:val="28"/>
          <w:szCs w:val="28"/>
        </w:rPr>
      </w:pPr>
      <w:r w:rsidRPr="00CF210F">
        <w:rPr>
          <w:rFonts w:ascii="Times New Roman" w:eastAsia="Times New Roman" w:hAnsi="Times New Roman"/>
          <w:sz w:val="28"/>
          <w:szCs w:val="28"/>
        </w:rPr>
        <w:t xml:space="preserve">         В настоящее время эффективность таргетных препаратов, ингибиторов протеасомы и моноклональных антител в лечении миеломной болезни до конца не изучена. По мнению специалистов « лечение новыми ингибиторами протеасомы увеличивает пятилетнюю выживаемость</w:t>
      </w:r>
      <w:r w:rsidR="00BF5E91" w:rsidRPr="00CF210F">
        <w:rPr>
          <w:rFonts w:ascii="Times New Roman" w:eastAsia="Times New Roman" w:hAnsi="Times New Roman"/>
          <w:sz w:val="28"/>
          <w:szCs w:val="28"/>
          <w:lang w:val="uz-Cyrl-UZ"/>
        </w:rPr>
        <w:t xml:space="preserve"> </w:t>
      </w:r>
      <w:r w:rsidR="00BF5E91" w:rsidRPr="00CF210F">
        <w:rPr>
          <w:rFonts w:ascii="Times New Roman" w:eastAsia="Times New Roman" w:hAnsi="Times New Roman"/>
          <w:sz w:val="28"/>
          <w:szCs w:val="28"/>
        </w:rPr>
        <w:t xml:space="preserve">больных </w:t>
      </w:r>
      <w:r w:rsidR="00BF5E91" w:rsidRPr="00CF210F">
        <w:rPr>
          <w:rFonts w:ascii="Times New Roman" w:eastAsia="Times New Roman" w:hAnsi="Times New Roman"/>
          <w:sz w:val="28"/>
          <w:szCs w:val="28"/>
          <w:lang w:val="uz-Cyrl-UZ"/>
        </w:rPr>
        <w:t xml:space="preserve">множественной миеломой </w:t>
      </w:r>
      <w:r w:rsidR="00BF5E91" w:rsidRPr="00CF210F">
        <w:rPr>
          <w:rFonts w:ascii="Times New Roman" w:eastAsia="Times New Roman" w:hAnsi="Times New Roman"/>
          <w:sz w:val="28"/>
          <w:szCs w:val="28"/>
        </w:rPr>
        <w:t>в два раза...»</w:t>
      </w:r>
      <w:r w:rsidR="00BF5E91" w:rsidRPr="00CF210F">
        <w:rPr>
          <w:rStyle w:val="af"/>
          <w:rFonts w:ascii="Times New Roman" w:eastAsia="Times New Roman" w:hAnsi="Times New Roman"/>
          <w:sz w:val="28"/>
          <w:szCs w:val="28"/>
        </w:rPr>
        <w:footnoteReference w:id="3"/>
      </w:r>
      <w:r w:rsidR="00BF5E91" w:rsidRPr="00CF210F">
        <w:rPr>
          <w:rFonts w:ascii="Times New Roman" w:eastAsia="Calibri" w:hAnsi="Times New Roman"/>
          <w:sz w:val="28"/>
          <w:szCs w:val="28"/>
          <w:lang w:val="uz-Cyrl-UZ" w:eastAsia="en-US"/>
        </w:rPr>
        <w:t xml:space="preserve">. </w:t>
      </w:r>
      <w:r w:rsidR="00BF5E91" w:rsidRPr="00CF210F">
        <w:rPr>
          <w:rFonts w:ascii="Times New Roman" w:eastAsia="Calibri" w:hAnsi="Times New Roman"/>
          <w:sz w:val="28"/>
          <w:szCs w:val="28"/>
          <w:lang w:eastAsia="en-US"/>
        </w:rPr>
        <w:t xml:space="preserve">За последние годы накапливаются и результаты лечения с внедрением в схемы лечения </w:t>
      </w:r>
      <w:r w:rsidRPr="00CF210F">
        <w:rPr>
          <w:rFonts w:ascii="Times New Roman" w:eastAsia="Calibri" w:hAnsi="Times New Roman"/>
          <w:sz w:val="28"/>
          <w:szCs w:val="28"/>
          <w:lang w:val="uz-Cyrl-UZ" w:eastAsia="en-US"/>
        </w:rPr>
        <w:t>множественной миеломы</w:t>
      </w:r>
      <w:r w:rsidRPr="00CF210F">
        <w:rPr>
          <w:rFonts w:ascii="Times New Roman" w:eastAsia="Calibri" w:hAnsi="Times New Roman"/>
          <w:sz w:val="28"/>
          <w:szCs w:val="28"/>
          <w:lang w:eastAsia="en-US"/>
        </w:rPr>
        <w:t xml:space="preserve"> трансплантации гемопоэтических стволовых клеток (ТГСК), в частности аутоТГСК. По данным многоцентровых исследований применение высокодозной </w:t>
      </w:r>
      <w:r w:rsidRPr="00CF210F">
        <w:rPr>
          <w:rFonts w:ascii="Times New Roman" w:eastAsia="Calibri" w:hAnsi="Times New Roman"/>
          <w:sz w:val="28"/>
          <w:szCs w:val="28"/>
          <w:lang w:val="uz-Cyrl-UZ" w:eastAsia="en-US"/>
        </w:rPr>
        <w:t>полихимиотерапии</w:t>
      </w:r>
      <w:r w:rsidRPr="00CF210F">
        <w:rPr>
          <w:rFonts w:ascii="Times New Roman" w:eastAsia="Calibri" w:hAnsi="Times New Roman"/>
          <w:sz w:val="28"/>
          <w:szCs w:val="28"/>
          <w:lang w:eastAsia="en-US"/>
        </w:rPr>
        <w:t xml:space="preserve"> с последующей аутоТГСК показали высокую их эффективность среди больных с рецидивирующими и резистентными формами </w:t>
      </w:r>
      <w:r w:rsidRPr="00CF210F">
        <w:rPr>
          <w:rFonts w:ascii="Times New Roman" w:eastAsia="Calibri" w:hAnsi="Times New Roman"/>
          <w:sz w:val="28"/>
          <w:szCs w:val="28"/>
          <w:lang w:val="uz-Cyrl-UZ" w:eastAsia="en-US"/>
        </w:rPr>
        <w:t xml:space="preserve">множественной миеломы. </w:t>
      </w:r>
      <w:r w:rsidRPr="00CF210F">
        <w:rPr>
          <w:rFonts w:ascii="Times New Roman" w:eastAsia="Times New Roman" w:hAnsi="Times New Roman"/>
          <w:sz w:val="28"/>
          <w:szCs w:val="28"/>
          <w:lang w:val="uz-Cyrl-UZ"/>
        </w:rPr>
        <w:t>Следовательно</w:t>
      </w:r>
      <w:r w:rsidRPr="00CF210F">
        <w:rPr>
          <w:rFonts w:ascii="Times New Roman" w:eastAsia="Times New Roman" w:hAnsi="Times New Roman"/>
          <w:sz w:val="28"/>
          <w:szCs w:val="28"/>
        </w:rPr>
        <w:t xml:space="preserve">, проведение аутоТГСК на сегодняшний день является приоритетным направлением лечения </w:t>
      </w:r>
      <w:r w:rsidRPr="00CF210F">
        <w:rPr>
          <w:rFonts w:ascii="Times New Roman" w:eastAsia="Calibri" w:hAnsi="Times New Roman"/>
          <w:sz w:val="28"/>
          <w:szCs w:val="28"/>
          <w:lang w:val="uz-Cyrl-UZ" w:eastAsia="en-US"/>
        </w:rPr>
        <w:t>множественной миеломы</w:t>
      </w:r>
      <w:r w:rsidRPr="00CF210F">
        <w:rPr>
          <w:rFonts w:ascii="Times New Roman" w:eastAsia="Times New Roman" w:hAnsi="Times New Roman"/>
          <w:sz w:val="28"/>
          <w:szCs w:val="28"/>
        </w:rPr>
        <w:t xml:space="preserve">. </w:t>
      </w:r>
      <w:bookmarkEnd w:id="2"/>
      <w:r w:rsidRPr="00CF210F">
        <w:rPr>
          <w:rFonts w:ascii="Times New Roman" w:eastAsia="Calibri" w:hAnsi="Times New Roman"/>
          <w:sz w:val="28"/>
          <w:szCs w:val="28"/>
        </w:rPr>
        <w:t xml:space="preserve"> </w:t>
      </w:r>
    </w:p>
    <w:p w:rsidR="008135F4" w:rsidRPr="00CF210F" w:rsidRDefault="008135F4" w:rsidP="00CF210F">
      <w:pPr>
        <w:spacing w:after="0" w:line="360" w:lineRule="auto"/>
        <w:ind w:firstLine="567"/>
        <w:jc w:val="both"/>
        <w:rPr>
          <w:rFonts w:ascii="Times New Roman" w:eastAsia="Calibri" w:hAnsi="Times New Roman"/>
          <w:sz w:val="28"/>
          <w:szCs w:val="28"/>
          <w:lang w:val="uz-Cyrl-UZ" w:eastAsia="en-US"/>
        </w:rPr>
      </w:pPr>
      <w:r w:rsidRPr="00CF210F">
        <w:rPr>
          <w:rFonts w:ascii="Times New Roman" w:eastAsia="Calibri" w:hAnsi="Times New Roman"/>
          <w:sz w:val="28"/>
          <w:szCs w:val="28"/>
          <w:lang w:eastAsia="en-US"/>
        </w:rPr>
        <w:t>Данное диссертационное исследование</w:t>
      </w:r>
      <w:r w:rsidRPr="00CF210F">
        <w:rPr>
          <w:rFonts w:ascii="Times New Roman" w:eastAsia="Calibri" w:hAnsi="Times New Roman"/>
          <w:sz w:val="28"/>
          <w:szCs w:val="28"/>
          <w:lang w:val="uz-Cyrl-UZ" w:eastAsia="en-US"/>
        </w:rPr>
        <w:t xml:space="preserve"> </w:t>
      </w:r>
      <w:r w:rsidRPr="00CF210F">
        <w:rPr>
          <w:rFonts w:ascii="Times New Roman" w:eastAsia="Calibri" w:hAnsi="Times New Roman"/>
          <w:sz w:val="28"/>
          <w:szCs w:val="28"/>
          <w:lang w:eastAsia="en-US"/>
        </w:rPr>
        <w:t xml:space="preserve"> в определенной степени </w:t>
      </w:r>
      <w:r w:rsidRPr="00CF210F">
        <w:rPr>
          <w:rFonts w:ascii="Times New Roman" w:eastAsia="Calibri" w:hAnsi="Times New Roman"/>
          <w:sz w:val="28"/>
          <w:szCs w:val="28"/>
          <w:lang w:val="en-US" w:eastAsia="en-US"/>
        </w:rPr>
        <w:t>c</w:t>
      </w:r>
      <w:r w:rsidRPr="00CF210F">
        <w:rPr>
          <w:rFonts w:ascii="Times New Roman" w:eastAsia="Calibri" w:hAnsi="Times New Roman"/>
          <w:sz w:val="28"/>
          <w:szCs w:val="28"/>
          <w:lang w:val="uz-Cyrl-UZ" w:eastAsia="en-US"/>
        </w:rPr>
        <w:t xml:space="preserve">лужит выполнению задач, поставленных в </w:t>
      </w:r>
      <w:r w:rsidRPr="00CF210F">
        <w:rPr>
          <w:rFonts w:ascii="Times New Roman" w:eastAsia="Calibri" w:hAnsi="Times New Roman"/>
          <w:sz w:val="28"/>
          <w:szCs w:val="28"/>
          <w:lang w:eastAsia="en-US"/>
        </w:rPr>
        <w:t>Указ</w:t>
      </w:r>
      <w:r w:rsidRPr="00CF210F">
        <w:rPr>
          <w:rFonts w:ascii="Times New Roman" w:eastAsia="Calibri" w:hAnsi="Times New Roman"/>
          <w:sz w:val="28"/>
          <w:szCs w:val="28"/>
          <w:lang w:val="uz-Cyrl-UZ" w:eastAsia="en-US"/>
        </w:rPr>
        <w:t>е</w:t>
      </w:r>
      <w:r w:rsidRPr="00CF210F">
        <w:rPr>
          <w:rFonts w:ascii="Times New Roman" w:eastAsia="Calibri" w:hAnsi="Times New Roman"/>
          <w:sz w:val="28"/>
          <w:szCs w:val="28"/>
          <w:lang w:eastAsia="en-US"/>
        </w:rPr>
        <w:t xml:space="preserve"> Президента Республики Узбекистан от 7 февраля 2017 года УП-№4947 «О </w:t>
      </w:r>
      <w:r w:rsidRPr="00CF210F">
        <w:rPr>
          <w:rFonts w:ascii="Times New Roman" w:eastAsia="Calibri" w:hAnsi="Times New Roman"/>
          <w:sz w:val="28"/>
          <w:szCs w:val="28"/>
          <w:lang w:val="uz-Cyrl-UZ" w:eastAsia="en-US"/>
        </w:rPr>
        <w:t>с</w:t>
      </w:r>
      <w:r w:rsidRPr="00CF210F">
        <w:rPr>
          <w:rFonts w:ascii="Times New Roman" w:eastAsia="Calibri" w:hAnsi="Times New Roman"/>
          <w:sz w:val="28"/>
          <w:szCs w:val="28"/>
          <w:lang w:eastAsia="en-US"/>
        </w:rPr>
        <w:t xml:space="preserve">тратегии действий по пяти приоритетным  направлениям развития Республики Узбекистан на 2017-2021 годы», </w:t>
      </w:r>
      <w:r w:rsidRPr="00CF210F">
        <w:rPr>
          <w:rFonts w:ascii="Times New Roman" w:eastAsia="Calibri" w:hAnsi="Times New Roman"/>
          <w:sz w:val="28"/>
          <w:szCs w:val="28"/>
          <w:lang w:val="uz-Cyrl-UZ" w:eastAsia="en-US"/>
        </w:rPr>
        <w:t xml:space="preserve">в Указе Президента Республики Узбекистан от 7 декабря 2018 года УП – 5590 </w:t>
      </w:r>
      <w:r w:rsidRPr="00CF210F">
        <w:rPr>
          <w:rFonts w:ascii="Times New Roman" w:eastAsia="Calibri" w:hAnsi="Times New Roman"/>
          <w:sz w:val="28"/>
          <w:szCs w:val="28"/>
          <w:lang w:eastAsia="en-US"/>
        </w:rPr>
        <w:t xml:space="preserve">«О </w:t>
      </w:r>
      <w:r w:rsidRPr="00CF210F">
        <w:rPr>
          <w:rFonts w:ascii="Times New Roman" w:eastAsia="Calibri" w:hAnsi="Times New Roman"/>
          <w:sz w:val="28"/>
          <w:szCs w:val="28"/>
          <w:lang w:val="uz-Cyrl-UZ" w:eastAsia="en-US"/>
        </w:rPr>
        <w:t>комплексных мерах по коренному совершенствованию системы здравоохранения Республики Узбекистан</w:t>
      </w:r>
      <w:r w:rsidRPr="00CF210F">
        <w:rPr>
          <w:rFonts w:ascii="Times New Roman" w:eastAsia="Calibri" w:hAnsi="Times New Roman"/>
          <w:sz w:val="28"/>
          <w:szCs w:val="28"/>
          <w:lang w:eastAsia="en-US"/>
        </w:rPr>
        <w:t xml:space="preserve">», </w:t>
      </w:r>
      <w:r w:rsidRPr="00CF210F">
        <w:rPr>
          <w:rFonts w:ascii="Times New Roman" w:eastAsia="Calibri" w:hAnsi="Times New Roman"/>
          <w:sz w:val="28"/>
          <w:szCs w:val="28"/>
          <w:lang w:eastAsia="en-US"/>
        </w:rPr>
        <w:lastRenderedPageBreak/>
        <w:t>Постановлени</w:t>
      </w:r>
      <w:r w:rsidRPr="00CF210F">
        <w:rPr>
          <w:rFonts w:ascii="Times New Roman" w:eastAsia="Calibri" w:hAnsi="Times New Roman"/>
          <w:sz w:val="28"/>
          <w:szCs w:val="28"/>
          <w:lang w:val="uz-Cyrl-UZ" w:eastAsia="en-US"/>
        </w:rPr>
        <w:t>ю</w:t>
      </w:r>
      <w:r w:rsidRPr="00CF210F">
        <w:rPr>
          <w:rFonts w:ascii="Times New Roman" w:eastAsia="Calibri" w:hAnsi="Times New Roman"/>
          <w:sz w:val="28"/>
          <w:szCs w:val="28"/>
          <w:lang w:eastAsia="en-US"/>
        </w:rPr>
        <w:t xml:space="preserve"> Президента от 20 июня 2017 года ПП-3071 «О мерах по дальнейшему развитию специализированной</w:t>
      </w:r>
      <w:r w:rsidRPr="00CF210F">
        <w:rPr>
          <w:rFonts w:ascii="Times New Roman" w:eastAsia="Calibri" w:hAnsi="Times New Roman"/>
          <w:sz w:val="28"/>
          <w:szCs w:val="28"/>
          <w:lang w:val="uz-Cyrl-UZ" w:eastAsia="en-US"/>
        </w:rPr>
        <w:t xml:space="preserve"> медицинской</w:t>
      </w:r>
      <w:r w:rsidRPr="00CF210F">
        <w:rPr>
          <w:rFonts w:ascii="Times New Roman" w:eastAsia="Calibri" w:hAnsi="Times New Roman"/>
          <w:sz w:val="28"/>
          <w:szCs w:val="28"/>
          <w:lang w:eastAsia="en-US"/>
        </w:rPr>
        <w:t xml:space="preserve"> помощи населению Республики Узбекистан»,  а также задач</w:t>
      </w:r>
      <w:r w:rsidRPr="00CF210F">
        <w:rPr>
          <w:rFonts w:ascii="Times New Roman" w:eastAsia="Calibri" w:hAnsi="Times New Roman"/>
          <w:sz w:val="28"/>
          <w:szCs w:val="28"/>
          <w:lang w:val="uz-Cyrl-UZ" w:eastAsia="en-US"/>
        </w:rPr>
        <w:t>,</w:t>
      </w:r>
      <w:r w:rsidRPr="00CF210F">
        <w:rPr>
          <w:rFonts w:ascii="Times New Roman" w:eastAsia="Calibri" w:hAnsi="Times New Roman"/>
          <w:sz w:val="28"/>
          <w:szCs w:val="28"/>
          <w:lang w:eastAsia="en-US"/>
        </w:rPr>
        <w:t xml:space="preserve"> обозначенных в других  нормативно-правовых документах касающихся деятельности в данно</w:t>
      </w:r>
      <w:r w:rsidRPr="00CF210F">
        <w:rPr>
          <w:rFonts w:ascii="Times New Roman" w:eastAsia="Calibri" w:hAnsi="Times New Roman"/>
          <w:sz w:val="28"/>
          <w:szCs w:val="28"/>
          <w:lang w:val="uz-Cyrl-UZ" w:eastAsia="en-US"/>
        </w:rPr>
        <w:t>й деятельности.</w:t>
      </w:r>
    </w:p>
    <w:p w:rsidR="008135F4" w:rsidRPr="00CF210F" w:rsidRDefault="008135F4" w:rsidP="00CF210F">
      <w:pPr>
        <w:spacing w:after="0" w:line="360" w:lineRule="auto"/>
        <w:ind w:firstLine="567"/>
        <w:jc w:val="both"/>
        <w:rPr>
          <w:rFonts w:ascii="Times New Roman" w:eastAsia="Times New Roman" w:hAnsi="Times New Roman"/>
          <w:sz w:val="28"/>
          <w:szCs w:val="28"/>
          <w:lang w:val="uz-Cyrl-UZ"/>
        </w:rPr>
      </w:pPr>
      <w:r w:rsidRPr="00CF210F">
        <w:rPr>
          <w:rFonts w:ascii="Times New Roman" w:eastAsia="Calibri" w:hAnsi="Times New Roman"/>
          <w:b/>
          <w:bCs/>
          <w:sz w:val="28"/>
          <w:szCs w:val="28"/>
        </w:rPr>
        <w:t>Соответствие исследования с приоритетными направлениями развития науки и технологий республики</w:t>
      </w:r>
      <w:r w:rsidRPr="00CF210F">
        <w:rPr>
          <w:rFonts w:ascii="Times New Roman" w:eastAsia="Calibri" w:hAnsi="Times New Roman"/>
          <w:b/>
          <w:sz w:val="28"/>
          <w:szCs w:val="28"/>
        </w:rPr>
        <w:t xml:space="preserve">. </w:t>
      </w:r>
      <w:r w:rsidRPr="00CF210F">
        <w:rPr>
          <w:rFonts w:ascii="Times New Roman" w:eastAsia="Calibri" w:hAnsi="Times New Roman"/>
          <w:sz w:val="28"/>
          <w:szCs w:val="28"/>
        </w:rPr>
        <w:t>Данное исследование выполнен</w:t>
      </w:r>
      <w:r w:rsidR="007D0FA5">
        <w:rPr>
          <w:rFonts w:ascii="Times New Roman" w:eastAsia="Calibri" w:hAnsi="Times New Roman"/>
          <w:sz w:val="28"/>
          <w:szCs w:val="28"/>
          <w:lang w:val="uz-Cyrl-UZ"/>
        </w:rPr>
        <w:t>о</w:t>
      </w:r>
      <w:r w:rsidRPr="00CF210F">
        <w:rPr>
          <w:rFonts w:ascii="Times New Roman" w:eastAsia="Calibri" w:hAnsi="Times New Roman"/>
          <w:sz w:val="28"/>
          <w:szCs w:val="28"/>
        </w:rPr>
        <w:t xml:space="preserve"> в соответствии с приоритетными направлениями развития науки и технологии республики VI «Медицина и фармакология».</w:t>
      </w:r>
    </w:p>
    <w:p w:rsidR="008135F4" w:rsidRPr="00CF210F" w:rsidRDefault="008135F4" w:rsidP="00CF210F">
      <w:pPr>
        <w:pStyle w:val="a3"/>
        <w:spacing w:line="360" w:lineRule="auto"/>
        <w:ind w:firstLine="567"/>
        <w:jc w:val="both"/>
        <w:rPr>
          <w:rFonts w:eastAsia="Times New Roman"/>
          <w:color w:val="000000"/>
          <w:shd w:val="clear" w:color="auto" w:fill="FFFFFF"/>
        </w:rPr>
      </w:pPr>
      <w:r w:rsidRPr="00CF210F">
        <w:rPr>
          <w:rFonts w:eastAsia="Times New Roman"/>
          <w:b/>
          <w:color w:val="000000"/>
        </w:rPr>
        <w:t>Степень изученности проблемы.</w:t>
      </w:r>
      <w:r w:rsidRPr="00CF210F">
        <w:rPr>
          <w:rFonts w:eastAsia="Times New Roman"/>
          <w:color w:val="000000"/>
        </w:rPr>
        <w:t xml:space="preserve"> </w:t>
      </w:r>
      <w:bookmarkStart w:id="3" w:name="_Hlk20246699"/>
      <w:r w:rsidRPr="00CF210F">
        <w:rPr>
          <w:rFonts w:eastAsia="Times New Roman"/>
          <w:color w:val="000000"/>
        </w:rPr>
        <w:t>Множественная миелома</w:t>
      </w:r>
      <w:r w:rsidRPr="00CF210F">
        <w:rPr>
          <w:rFonts w:eastAsia="Times New Roman"/>
          <w:color w:val="000000"/>
          <w:lang w:val="uz-Cyrl-UZ"/>
        </w:rPr>
        <w:t xml:space="preserve"> (ММ)</w:t>
      </w:r>
      <w:r w:rsidRPr="00CF210F">
        <w:rPr>
          <w:rFonts w:eastAsia="Times New Roman"/>
          <w:color w:val="000000"/>
        </w:rPr>
        <w:t xml:space="preserve"> составляет 10-15% гематологических опухолей человека и 1% всех онкологических заболеваний (</w:t>
      </w:r>
      <w:r w:rsidRPr="00CF210F">
        <w:rPr>
          <w:rFonts w:eastAsia="Times New Roman"/>
          <w:color w:val="000000"/>
          <w:lang w:val="en-US"/>
        </w:rPr>
        <w:t>EHA</w:t>
      </w:r>
      <w:r w:rsidRPr="00CF210F">
        <w:rPr>
          <w:rFonts w:eastAsia="Times New Roman"/>
          <w:color w:val="000000"/>
        </w:rPr>
        <w:t>, 201</w:t>
      </w:r>
      <w:r w:rsidRPr="00CF210F">
        <w:rPr>
          <w:rFonts w:eastAsia="Times New Roman"/>
          <w:color w:val="000000"/>
          <w:lang w:val="uz-Cyrl-UZ"/>
        </w:rPr>
        <w:t>8</w:t>
      </w:r>
      <w:r w:rsidRPr="00CF210F">
        <w:rPr>
          <w:rFonts w:eastAsia="Times New Roman"/>
          <w:color w:val="000000"/>
        </w:rPr>
        <w:t>). Заболеваемость в Европе в 2000 г. составила 1,31, в России – 1,2 на 100 000 населения в год. Заболевают ММ преимущественно лица в возрасте старше 40 лет, медиана заболеваемости составляет 68 лет</w:t>
      </w:r>
      <w:r w:rsidRPr="00CF210F">
        <w:rPr>
          <w:rFonts w:eastAsia="Times New Roman"/>
          <w:color w:val="000000"/>
          <w:lang w:val="uz-Cyrl-UZ"/>
        </w:rPr>
        <w:t xml:space="preserve"> (Катин Е.А. и др., 2018)</w:t>
      </w:r>
      <w:r w:rsidRPr="00CF210F">
        <w:rPr>
          <w:rFonts w:eastAsia="Times New Roman"/>
          <w:color w:val="000000"/>
        </w:rPr>
        <w:t>.</w:t>
      </w:r>
      <w:r w:rsidRPr="00CF210F">
        <w:rPr>
          <w:rFonts w:eastAsia="Times New Roman"/>
          <w:color w:val="000000"/>
          <w:lang w:val="uz-Cyrl-UZ"/>
        </w:rPr>
        <w:t xml:space="preserve"> </w:t>
      </w:r>
      <w:r w:rsidRPr="00CF210F">
        <w:rPr>
          <w:rFonts w:eastAsia="Times New Roman"/>
          <w:color w:val="000000"/>
        </w:rPr>
        <w:t xml:space="preserve">В связи с тем, что ММ до настоящего времени является неизлечимым заболеванием всё больше исследований направлены на изучение и поиск новых технологических методов лечения этого заболевания. Известные из литературы </w:t>
      </w:r>
      <w:r w:rsidRPr="00CF210F">
        <w:rPr>
          <w:rFonts w:eastAsia="Times New Roman"/>
          <w:color w:val="000000"/>
          <w:shd w:val="clear" w:color="auto" w:fill="FFFFFF"/>
        </w:rPr>
        <w:t>последние прорывы и достижения, как в диагностике, так и лечении ММ позволяют достигать более длительных ремиссий.  Так по данным американского регистра злокачественных заболеваний SEER</w:t>
      </w:r>
      <w:r w:rsidR="007D0FA5">
        <w:rPr>
          <w:rFonts w:eastAsia="Times New Roman"/>
          <w:color w:val="000000"/>
          <w:shd w:val="clear" w:color="auto" w:fill="FFFFFF"/>
          <w:lang w:val="uz-Cyrl-UZ"/>
        </w:rPr>
        <w:t xml:space="preserve"> </w:t>
      </w:r>
      <w:r w:rsidRPr="00CF210F">
        <w:rPr>
          <w:rFonts w:eastAsia="Times New Roman"/>
          <w:color w:val="000000"/>
          <w:lang w:val="uz-Cyrl-UZ"/>
        </w:rPr>
        <w:t xml:space="preserve">(2017), </w:t>
      </w:r>
      <w:r w:rsidRPr="00CF210F">
        <w:rPr>
          <w:rFonts w:eastAsia="Times New Roman"/>
          <w:color w:val="000000"/>
          <w:shd w:val="clear" w:color="auto" w:fill="FFFFFF"/>
        </w:rPr>
        <w:t xml:space="preserve"> выживаемость больных за пять лет за последние годы увеличилась до 50,2%. Однако эти</w:t>
      </w:r>
      <w:r w:rsidRPr="00CF210F">
        <w:rPr>
          <w:rFonts w:eastAsia="Times New Roman"/>
          <w:color w:val="000000"/>
          <w:shd w:val="clear" w:color="auto" w:fill="FFFFFF"/>
          <w:lang w:val="uz-Cyrl-UZ"/>
        </w:rPr>
        <w:t xml:space="preserve"> </w:t>
      </w:r>
      <w:r w:rsidRPr="00CF210F">
        <w:rPr>
          <w:rFonts w:eastAsia="Times New Roman"/>
          <w:color w:val="000000"/>
          <w:shd w:val="clear" w:color="auto" w:fill="FFFFFF"/>
        </w:rPr>
        <w:t xml:space="preserve">значения свидетельствуют о недостаточной эффективности проводимых стандартных методов химиотерапии. Несмотря на улучшение и достижение ремиссии у большинства пациентов </w:t>
      </w:r>
      <w:r w:rsidR="009E0927">
        <w:rPr>
          <w:rFonts w:eastAsia="Times New Roman"/>
          <w:color w:val="000000"/>
          <w:shd w:val="clear" w:color="auto" w:fill="FFFFFF"/>
        </w:rPr>
        <w:t>множественной миеломы</w:t>
      </w:r>
      <w:r w:rsidRPr="00CF210F">
        <w:rPr>
          <w:rFonts w:eastAsia="Times New Roman"/>
          <w:color w:val="000000"/>
          <w:shd w:val="clear" w:color="auto" w:fill="FFFFFF"/>
        </w:rPr>
        <w:t>, в дальнейшем у больных вновь проявляется рецидив забо</w:t>
      </w:r>
      <w:r w:rsidRPr="00CF210F">
        <w:rPr>
          <w:rFonts w:eastAsia="Times New Roman"/>
          <w:color w:val="000000"/>
          <w:shd w:val="clear" w:color="auto" w:fill="FFFFFF"/>
          <w:lang w:val="uz-Cyrl-UZ"/>
        </w:rPr>
        <w:t>ле</w:t>
      </w:r>
      <w:r w:rsidRPr="00CF210F">
        <w:rPr>
          <w:rFonts w:eastAsia="Times New Roman"/>
          <w:color w:val="000000"/>
          <w:shd w:val="clear" w:color="auto" w:fill="FFFFFF"/>
        </w:rPr>
        <w:t xml:space="preserve">вания. При этом необходимо отметить, что очередной рецидив </w:t>
      </w:r>
      <w:r w:rsidR="009E0927">
        <w:rPr>
          <w:rFonts w:eastAsia="Times New Roman"/>
          <w:color w:val="000000"/>
          <w:shd w:val="clear" w:color="auto" w:fill="FFFFFF"/>
        </w:rPr>
        <w:t>заболевание</w:t>
      </w:r>
      <w:r w:rsidRPr="00CF210F">
        <w:rPr>
          <w:rFonts w:eastAsia="Times New Roman"/>
          <w:color w:val="000000"/>
          <w:shd w:val="clear" w:color="auto" w:fill="FFFFFF"/>
        </w:rPr>
        <w:t xml:space="preserve"> часто протекает с развитием резистентност</w:t>
      </w:r>
      <w:r w:rsidR="007D0FA5">
        <w:rPr>
          <w:rFonts w:eastAsia="Times New Roman"/>
          <w:color w:val="000000"/>
          <w:shd w:val="clear" w:color="auto" w:fill="FFFFFF"/>
          <w:lang w:val="uz-Cyrl-UZ"/>
        </w:rPr>
        <w:t>и</w:t>
      </w:r>
      <w:r w:rsidRPr="00CF210F">
        <w:rPr>
          <w:rFonts w:eastAsia="Times New Roman"/>
          <w:color w:val="000000"/>
          <w:shd w:val="clear" w:color="auto" w:fill="FFFFFF"/>
        </w:rPr>
        <w:t xml:space="preserve"> заболевания к лечению, усугубляется тяжесть состояния больных. В конце прошлого века в протоколы медикаментозной терапии включены </w:t>
      </w:r>
      <w:r w:rsidRPr="00CF210F">
        <w:rPr>
          <w:rFonts w:eastAsia="Times New Roman"/>
          <w:color w:val="000000"/>
          <w:shd w:val="clear" w:color="auto" w:fill="FFFFFF"/>
        </w:rPr>
        <w:lastRenderedPageBreak/>
        <w:t xml:space="preserve">таргетные ингибиторы протеосом. </w:t>
      </w:r>
      <w:r w:rsidRPr="00CF210F">
        <w:rPr>
          <w:rFonts w:eastAsia="Times New Roman"/>
          <w:color w:val="000000"/>
          <w:shd w:val="clear" w:color="auto" w:fill="FFFFFF"/>
          <w:lang w:val="uz-Cyrl-UZ"/>
        </w:rPr>
        <w:t>П</w:t>
      </w:r>
      <w:r w:rsidRPr="00CF210F">
        <w:rPr>
          <w:rFonts w:eastAsia="Times New Roman"/>
          <w:color w:val="000000"/>
          <w:shd w:val="clear" w:color="auto" w:fill="FFFFFF"/>
        </w:rPr>
        <w:t xml:space="preserve">рименение этих методов лечения показали высокую эффективность, а также снижение степени побочных эффектов проводимого лечения. </w:t>
      </w:r>
      <w:r w:rsidRPr="00CF210F">
        <w:rPr>
          <w:rFonts w:eastAsia="Times New Roman"/>
          <w:color w:val="000000"/>
          <w:shd w:val="clear" w:color="auto" w:fill="FFFFFF"/>
          <w:lang w:val="uz-Cyrl-UZ"/>
        </w:rPr>
        <w:t xml:space="preserve">По данным </w:t>
      </w:r>
      <w:r w:rsidRPr="00CF210F">
        <w:rPr>
          <w:rFonts w:eastAsia="Times New Roman"/>
          <w:color w:val="000000"/>
          <w:lang w:val="uz-Cyrl-UZ"/>
        </w:rPr>
        <w:t>Attal М. et al. (2017) т</w:t>
      </w:r>
      <w:r w:rsidRPr="00CF210F">
        <w:rPr>
          <w:rFonts w:eastAsia="Times New Roman"/>
          <w:color w:val="000000"/>
          <w:shd w:val="clear" w:color="auto" w:fill="FFFFFF"/>
        </w:rPr>
        <w:t>аргетные</w:t>
      </w:r>
      <w:r w:rsidRPr="00CF210F">
        <w:rPr>
          <w:rFonts w:eastAsia="Times New Roman"/>
          <w:color w:val="000000"/>
          <w:shd w:val="clear" w:color="auto" w:fill="FFFFFF"/>
          <w:lang w:val="uz-Cyrl-UZ"/>
        </w:rPr>
        <w:t xml:space="preserve"> </w:t>
      </w:r>
      <w:r w:rsidRPr="00CF210F">
        <w:rPr>
          <w:rFonts w:eastAsia="Times New Roman"/>
          <w:color w:val="000000"/>
          <w:shd w:val="clear" w:color="auto" w:fill="FFFFFF"/>
        </w:rPr>
        <w:t>препараты обладая высокой селективностью, обеспечива</w:t>
      </w:r>
      <w:r w:rsidR="007D0FA5">
        <w:rPr>
          <w:rFonts w:eastAsia="Times New Roman"/>
          <w:color w:val="000000"/>
          <w:shd w:val="clear" w:color="auto" w:fill="FFFFFF"/>
          <w:lang w:val="uz-Cyrl-UZ"/>
        </w:rPr>
        <w:t>ю</w:t>
      </w:r>
      <w:r w:rsidRPr="00CF210F">
        <w:rPr>
          <w:rFonts w:eastAsia="Times New Roman"/>
          <w:color w:val="000000"/>
          <w:shd w:val="clear" w:color="auto" w:fill="FFFFFF"/>
        </w:rPr>
        <w:t>т положительный эффект на различной стадии лечения</w:t>
      </w:r>
      <w:r w:rsidR="00722E36" w:rsidRPr="00722E36">
        <w:rPr>
          <w:rFonts w:eastAsia="Times New Roman"/>
          <w:color w:val="000000"/>
          <w:shd w:val="clear" w:color="auto" w:fill="FFFFFF"/>
        </w:rPr>
        <w:t>.</w:t>
      </w:r>
      <w:r w:rsidRPr="00CF210F">
        <w:rPr>
          <w:rFonts w:eastAsia="Times New Roman"/>
          <w:color w:val="000000"/>
          <w:shd w:val="clear" w:color="auto" w:fill="FFFFFF"/>
        </w:rPr>
        <w:t xml:space="preserve">  </w:t>
      </w:r>
    </w:p>
    <w:p w:rsidR="008135F4" w:rsidRPr="00CF210F" w:rsidRDefault="008135F4" w:rsidP="00CF210F">
      <w:pPr>
        <w:spacing w:after="0" w:line="360" w:lineRule="auto"/>
        <w:ind w:firstLine="709"/>
        <w:jc w:val="both"/>
        <w:rPr>
          <w:rFonts w:ascii="Times New Roman" w:eastAsia="Calibri" w:hAnsi="Times New Roman"/>
          <w:sz w:val="28"/>
          <w:szCs w:val="28"/>
          <w:lang w:val="uz-Cyrl-UZ" w:eastAsia="en-US"/>
        </w:rPr>
      </w:pPr>
      <w:r w:rsidRPr="00CF210F">
        <w:rPr>
          <w:rFonts w:ascii="Times New Roman" w:eastAsia="Times New Roman" w:hAnsi="Times New Roman"/>
          <w:sz w:val="28"/>
          <w:szCs w:val="28"/>
        </w:rPr>
        <w:t>В последние десятилетия применение   гемопоэтических   факторов роста, способствующие увеличению концентрации клеток-предшественниц в крови, определило возможность применения периферической крови как источника гемопоэтических клеток для трансплантации.</w:t>
      </w:r>
      <w:r w:rsidRPr="00CF210F">
        <w:rPr>
          <w:rFonts w:ascii="Times New Roman" w:eastAsia="Times New Roman" w:hAnsi="Times New Roman"/>
          <w:sz w:val="28"/>
          <w:szCs w:val="28"/>
          <w:lang w:val="uz-Cyrl-UZ"/>
        </w:rPr>
        <w:t xml:space="preserve"> </w:t>
      </w:r>
      <w:r w:rsidRPr="00CF210F">
        <w:rPr>
          <w:rFonts w:ascii="Times New Roman" w:eastAsia="Calibri" w:hAnsi="Times New Roman"/>
          <w:sz w:val="28"/>
          <w:szCs w:val="28"/>
          <w:lang w:val="uz-Cyrl-UZ" w:eastAsia="en-US"/>
        </w:rPr>
        <w:t>Несмотря на многочисленные исследования, эффективность трансплантации кроветворных клеток остается широко обсуждаемой проблемой. (</w:t>
      </w:r>
      <w:r w:rsidRPr="00CF210F">
        <w:rPr>
          <w:rFonts w:ascii="Times New Roman" w:eastAsia="Times New Roman" w:hAnsi="Times New Roman"/>
          <w:sz w:val="28"/>
          <w:szCs w:val="28"/>
          <w:lang w:val="en-US"/>
        </w:rPr>
        <w:t>Chakraborty R. et al.</w:t>
      </w:r>
      <w:r w:rsidRPr="00CF210F">
        <w:rPr>
          <w:rFonts w:ascii="Times New Roman" w:eastAsia="Times New Roman" w:hAnsi="Times New Roman"/>
          <w:sz w:val="28"/>
          <w:szCs w:val="28"/>
          <w:lang w:val="uz-Cyrl-UZ"/>
        </w:rPr>
        <w:t>, 2017,</w:t>
      </w:r>
      <w:r w:rsidRPr="00CF210F">
        <w:rPr>
          <w:rFonts w:ascii="Times New Roman" w:eastAsia="Times New Roman" w:hAnsi="Times New Roman"/>
          <w:sz w:val="28"/>
          <w:szCs w:val="28"/>
          <w:lang w:val="en-US"/>
        </w:rPr>
        <w:t xml:space="preserve"> Gay F. et al.</w:t>
      </w:r>
      <w:r w:rsidRPr="00CF210F">
        <w:rPr>
          <w:rFonts w:ascii="Times New Roman" w:eastAsia="Times New Roman" w:hAnsi="Times New Roman"/>
          <w:sz w:val="28"/>
          <w:szCs w:val="28"/>
          <w:lang w:val="uz-Cyrl-UZ"/>
        </w:rPr>
        <w:t>,</w:t>
      </w:r>
      <w:r w:rsidRPr="00CF210F">
        <w:rPr>
          <w:rFonts w:ascii="Times New Roman" w:eastAsia="Times New Roman" w:hAnsi="Times New Roman"/>
          <w:sz w:val="28"/>
          <w:szCs w:val="28"/>
          <w:lang w:val="en-US"/>
        </w:rPr>
        <w:t xml:space="preserve"> </w:t>
      </w:r>
      <w:r w:rsidRPr="00CF210F">
        <w:rPr>
          <w:rFonts w:ascii="Times New Roman" w:eastAsia="Times New Roman" w:hAnsi="Times New Roman"/>
          <w:sz w:val="28"/>
          <w:szCs w:val="28"/>
          <w:lang w:val="uz-Cyrl-UZ"/>
        </w:rPr>
        <w:t>2017,</w:t>
      </w:r>
      <w:r w:rsidRPr="00CF210F">
        <w:rPr>
          <w:rFonts w:ascii="Times New Roman" w:eastAsia="Times New Roman" w:hAnsi="Times New Roman"/>
          <w:sz w:val="28"/>
          <w:szCs w:val="28"/>
          <w:lang w:val="en-US"/>
        </w:rPr>
        <w:t xml:space="preserve"> Koharazawa H. et al.</w:t>
      </w:r>
      <w:r w:rsidRPr="00CF210F">
        <w:rPr>
          <w:rFonts w:ascii="Times New Roman" w:eastAsia="Times New Roman" w:hAnsi="Times New Roman"/>
          <w:sz w:val="28"/>
          <w:szCs w:val="28"/>
          <w:lang w:val="uz-Cyrl-UZ"/>
        </w:rPr>
        <w:t>, 2015)</w:t>
      </w:r>
      <w:r w:rsidRPr="00CF210F">
        <w:rPr>
          <w:rFonts w:ascii="Times New Roman" w:eastAsia="Calibri" w:hAnsi="Times New Roman"/>
          <w:sz w:val="28"/>
          <w:szCs w:val="28"/>
          <w:lang w:val="uz-Cyrl-UZ" w:eastAsia="en-US"/>
        </w:rPr>
        <w:t>.</w:t>
      </w:r>
    </w:p>
    <w:p w:rsidR="008135F4" w:rsidRPr="00CF210F" w:rsidRDefault="008135F4" w:rsidP="00CF210F">
      <w:pPr>
        <w:spacing w:after="0" w:line="360" w:lineRule="auto"/>
        <w:ind w:firstLine="709"/>
        <w:jc w:val="both"/>
        <w:rPr>
          <w:rFonts w:ascii="Times New Roman" w:eastAsia="Calibri" w:hAnsi="Times New Roman"/>
          <w:sz w:val="28"/>
          <w:szCs w:val="28"/>
          <w:lang w:val="uz-Cyrl-UZ" w:eastAsia="en-US"/>
        </w:rPr>
      </w:pPr>
      <w:r w:rsidRPr="00CF210F">
        <w:rPr>
          <w:rFonts w:ascii="Times New Roman" w:eastAsia="Calibri" w:hAnsi="Times New Roman"/>
          <w:sz w:val="28"/>
          <w:szCs w:val="28"/>
          <w:lang w:val="uz-Cyrl-UZ" w:eastAsia="en-US"/>
        </w:rPr>
        <w:t xml:space="preserve">В Узбекистане впервые проведено исследования по трансплантации гемопоэтичеких стволовых клеток при множественной миеломе.  </w:t>
      </w:r>
    </w:p>
    <w:p w:rsidR="008135F4" w:rsidRPr="00CF210F" w:rsidRDefault="008135F4" w:rsidP="00CF210F">
      <w:pPr>
        <w:spacing w:after="0" w:line="360" w:lineRule="auto"/>
        <w:ind w:firstLine="709"/>
        <w:jc w:val="both"/>
        <w:rPr>
          <w:rFonts w:ascii="Times New Roman" w:eastAsia="Calibri" w:hAnsi="Times New Roman"/>
          <w:sz w:val="28"/>
          <w:szCs w:val="28"/>
        </w:rPr>
      </w:pPr>
      <w:r w:rsidRPr="00CF210F">
        <w:rPr>
          <w:rFonts w:ascii="Times New Roman" w:eastAsia="Calibri" w:hAnsi="Times New Roman"/>
          <w:b/>
          <w:sz w:val="28"/>
          <w:szCs w:val="28"/>
        </w:rPr>
        <w:t>Связь диссертационного исследования с планами научно-исследовательских работ научно-исследовательского учреждения, где выполнена диссертация</w:t>
      </w:r>
      <w:r w:rsidRPr="00CF210F">
        <w:rPr>
          <w:rFonts w:ascii="Times New Roman" w:eastAsia="Calibri" w:hAnsi="Times New Roman"/>
          <w:sz w:val="28"/>
          <w:szCs w:val="28"/>
        </w:rPr>
        <w:t xml:space="preserve">. Диссертационное исследование выполнено в соответствие с планом научно-исследовательских работ научно-исследовательского института Гематологии и переливания крови </w:t>
      </w:r>
      <w:r w:rsidRPr="00CF210F">
        <w:rPr>
          <w:rFonts w:ascii="Times New Roman" w:eastAsia="Calibri" w:hAnsi="Times New Roman"/>
          <w:sz w:val="28"/>
          <w:szCs w:val="28"/>
          <w:lang w:val="uz-Cyrl-UZ"/>
        </w:rPr>
        <w:t xml:space="preserve">по грантовому проекту </w:t>
      </w:r>
      <w:r w:rsidRPr="00CF210F">
        <w:rPr>
          <w:rFonts w:ascii="Times New Roman" w:eastAsia="Calibri" w:hAnsi="Times New Roman"/>
          <w:sz w:val="28"/>
          <w:szCs w:val="28"/>
        </w:rPr>
        <w:t>П</w:t>
      </w:r>
      <w:r w:rsidRPr="00CF210F">
        <w:rPr>
          <w:rFonts w:ascii="Times New Roman" w:eastAsia="Calibri" w:hAnsi="Times New Roman"/>
          <w:sz w:val="28"/>
          <w:szCs w:val="28"/>
          <w:lang w:val="uz-Cyrl-UZ"/>
        </w:rPr>
        <w:t>З</w:t>
      </w:r>
      <w:r w:rsidRPr="00CF210F">
        <w:rPr>
          <w:rFonts w:ascii="Times New Roman" w:eastAsia="Calibri" w:hAnsi="Times New Roman"/>
          <w:sz w:val="28"/>
          <w:szCs w:val="28"/>
        </w:rPr>
        <w:t>-</w:t>
      </w:r>
      <w:r w:rsidRPr="00CF210F">
        <w:rPr>
          <w:rFonts w:ascii="Times New Roman" w:eastAsia="Calibri" w:hAnsi="Times New Roman"/>
          <w:sz w:val="28"/>
          <w:szCs w:val="28"/>
          <w:lang w:val="uz-Cyrl-UZ"/>
        </w:rPr>
        <w:t xml:space="preserve">20170928560  на тему: </w:t>
      </w:r>
      <w:r w:rsidRPr="00CF210F">
        <w:rPr>
          <w:rFonts w:ascii="Times New Roman" w:eastAsia="Calibri" w:hAnsi="Times New Roman"/>
          <w:sz w:val="28"/>
          <w:szCs w:val="28"/>
        </w:rPr>
        <w:t>«Разработка но</w:t>
      </w:r>
      <w:r w:rsidRPr="00CF210F">
        <w:rPr>
          <w:rFonts w:ascii="Times New Roman" w:eastAsia="Calibri" w:hAnsi="Times New Roman"/>
          <w:sz w:val="28"/>
          <w:szCs w:val="28"/>
          <w:lang w:val="uz-Cyrl-UZ"/>
        </w:rPr>
        <w:t>вого подхода лечения больных с множественой миеломой с учетом молекулярно-биологических маркеров прогнозирующих течение заболевания</w:t>
      </w:r>
      <w:r w:rsidRPr="00CF210F">
        <w:rPr>
          <w:rFonts w:ascii="Times New Roman" w:eastAsia="Calibri" w:hAnsi="Times New Roman"/>
          <w:sz w:val="28"/>
          <w:szCs w:val="28"/>
        </w:rPr>
        <w:t>» (201</w:t>
      </w:r>
      <w:r w:rsidRPr="00CF210F">
        <w:rPr>
          <w:rFonts w:ascii="Times New Roman" w:eastAsia="Calibri" w:hAnsi="Times New Roman"/>
          <w:sz w:val="28"/>
          <w:szCs w:val="28"/>
          <w:lang w:val="uz-Cyrl-UZ"/>
        </w:rPr>
        <w:t>8</w:t>
      </w:r>
      <w:r w:rsidRPr="00CF210F">
        <w:rPr>
          <w:rFonts w:ascii="Times New Roman" w:eastAsia="Calibri" w:hAnsi="Times New Roman"/>
          <w:sz w:val="28"/>
          <w:szCs w:val="28"/>
        </w:rPr>
        <w:t>-20</w:t>
      </w:r>
      <w:r w:rsidRPr="00CF210F">
        <w:rPr>
          <w:rFonts w:ascii="Times New Roman" w:eastAsia="Calibri" w:hAnsi="Times New Roman"/>
          <w:sz w:val="28"/>
          <w:szCs w:val="28"/>
          <w:lang w:val="uz-Cyrl-UZ"/>
        </w:rPr>
        <w:t>20</w:t>
      </w:r>
      <w:r w:rsidRPr="00CF210F">
        <w:rPr>
          <w:rFonts w:ascii="Times New Roman" w:eastAsia="Calibri" w:hAnsi="Times New Roman"/>
          <w:sz w:val="28"/>
          <w:szCs w:val="28"/>
        </w:rPr>
        <w:t xml:space="preserve">гг). </w:t>
      </w:r>
    </w:p>
    <w:p w:rsidR="00CA4766" w:rsidRDefault="008135F4" w:rsidP="00CF210F">
      <w:pPr>
        <w:spacing w:after="0" w:line="360" w:lineRule="auto"/>
        <w:ind w:firstLine="709"/>
        <w:jc w:val="both"/>
        <w:rPr>
          <w:rFonts w:ascii="Times New Roman" w:eastAsia="Times New Roman" w:hAnsi="Times New Roman"/>
          <w:sz w:val="28"/>
          <w:szCs w:val="28"/>
          <w:lang w:val="uz-Cyrl-UZ"/>
        </w:rPr>
      </w:pPr>
      <w:r w:rsidRPr="00CF210F">
        <w:rPr>
          <w:rFonts w:ascii="Times New Roman" w:eastAsia="Times New Roman" w:hAnsi="Times New Roman"/>
          <w:b/>
          <w:bCs/>
          <w:sz w:val="28"/>
          <w:szCs w:val="28"/>
        </w:rPr>
        <w:t>Цель исследования:</w:t>
      </w:r>
      <w:r w:rsidRPr="00CF210F">
        <w:rPr>
          <w:rFonts w:ascii="Times New Roman" w:eastAsia="Times New Roman" w:hAnsi="Times New Roman"/>
          <w:sz w:val="28"/>
          <w:szCs w:val="28"/>
        </w:rPr>
        <w:t xml:space="preserve"> </w:t>
      </w:r>
      <w:bookmarkStart w:id="4" w:name="_Hlk7083680"/>
      <w:r w:rsidRPr="00CF210F">
        <w:rPr>
          <w:rFonts w:ascii="Times New Roman" w:eastAsia="Times New Roman" w:hAnsi="Times New Roman"/>
          <w:sz w:val="28"/>
          <w:szCs w:val="28"/>
        </w:rPr>
        <w:t>усовершенствовать диагностику и лечение множественной миеломы на основе применения высокотехнологичных методов</w:t>
      </w:r>
      <w:r w:rsidRPr="00CF210F">
        <w:rPr>
          <w:rFonts w:ascii="Times New Roman" w:eastAsia="Times New Roman" w:hAnsi="Times New Roman"/>
          <w:sz w:val="28"/>
          <w:szCs w:val="28"/>
          <w:lang w:val="uz-Cyrl-UZ"/>
        </w:rPr>
        <w:t xml:space="preserve">,  </w:t>
      </w:r>
      <w:r w:rsidRPr="00CF210F">
        <w:rPr>
          <w:rFonts w:ascii="Times New Roman" w:eastAsia="Times New Roman" w:hAnsi="Times New Roman"/>
          <w:sz w:val="28"/>
          <w:szCs w:val="28"/>
        </w:rPr>
        <w:t xml:space="preserve">определить критерии прогноза течения и эффективность проводимой терапии заболевания. </w:t>
      </w:r>
    </w:p>
    <w:p w:rsidR="00CA4766" w:rsidRDefault="00CA4766" w:rsidP="00CF210F">
      <w:pPr>
        <w:spacing w:after="0" w:line="360" w:lineRule="auto"/>
        <w:ind w:firstLine="709"/>
        <w:jc w:val="both"/>
        <w:rPr>
          <w:rFonts w:ascii="Times New Roman" w:eastAsia="Times New Roman" w:hAnsi="Times New Roman"/>
          <w:sz w:val="28"/>
          <w:szCs w:val="28"/>
          <w:lang w:val="uz-Cyrl-UZ"/>
        </w:rPr>
      </w:pPr>
    </w:p>
    <w:p w:rsidR="008135F4" w:rsidRPr="00CF210F" w:rsidRDefault="008135F4" w:rsidP="00CF210F">
      <w:pPr>
        <w:spacing w:after="0" w:line="360" w:lineRule="auto"/>
        <w:ind w:firstLine="709"/>
        <w:jc w:val="both"/>
        <w:rPr>
          <w:rFonts w:ascii="Times New Roman" w:eastAsia="Times New Roman" w:hAnsi="Times New Roman"/>
          <w:sz w:val="28"/>
          <w:szCs w:val="28"/>
        </w:rPr>
      </w:pPr>
      <w:r w:rsidRPr="00CF210F">
        <w:rPr>
          <w:rFonts w:ascii="Times New Roman" w:eastAsia="Times New Roman" w:hAnsi="Times New Roman"/>
          <w:sz w:val="28"/>
          <w:szCs w:val="28"/>
        </w:rPr>
        <w:t xml:space="preserve"> </w:t>
      </w:r>
    </w:p>
    <w:bookmarkEnd w:id="4"/>
    <w:p w:rsidR="008135F4" w:rsidRPr="00CF210F" w:rsidRDefault="008135F4" w:rsidP="00CF210F">
      <w:pPr>
        <w:spacing w:after="0" w:line="360" w:lineRule="auto"/>
        <w:ind w:firstLine="709"/>
        <w:jc w:val="both"/>
        <w:rPr>
          <w:rFonts w:ascii="Times New Roman" w:eastAsia="Times New Roman" w:hAnsi="Times New Roman"/>
          <w:b/>
          <w:sz w:val="28"/>
          <w:szCs w:val="28"/>
          <w:lang w:eastAsia="en-US"/>
        </w:rPr>
      </w:pPr>
      <w:r w:rsidRPr="00CF210F">
        <w:rPr>
          <w:rFonts w:ascii="Times New Roman" w:eastAsia="Times New Roman" w:hAnsi="Times New Roman"/>
          <w:b/>
          <w:sz w:val="28"/>
          <w:szCs w:val="28"/>
          <w:lang w:eastAsia="en-US"/>
        </w:rPr>
        <w:lastRenderedPageBreak/>
        <w:t>Задачи исследования:</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val="uz-Cyrl-UZ" w:eastAsia="en-US"/>
        </w:rPr>
        <w:t xml:space="preserve">оценить </w:t>
      </w:r>
      <w:r w:rsidRPr="00CF210F">
        <w:rPr>
          <w:rFonts w:ascii="Times New Roman" w:eastAsia="Times New Roman" w:hAnsi="Times New Roman"/>
          <w:sz w:val="28"/>
          <w:szCs w:val="28"/>
          <w:lang w:eastAsia="en-US"/>
        </w:rPr>
        <w:t>частоту встречаемости иммунохимических вариантов множественной миеломы в Узбекистане</w:t>
      </w:r>
      <w:r w:rsidRPr="00CF210F">
        <w:rPr>
          <w:rFonts w:ascii="Times New Roman" w:eastAsia="Times New Roman" w:hAnsi="Times New Roman"/>
          <w:sz w:val="28"/>
          <w:szCs w:val="28"/>
          <w:lang w:val="uz-Cyrl-UZ" w:eastAsia="en-US"/>
        </w:rPr>
        <w:t xml:space="preserve"> и их </w:t>
      </w:r>
      <w:r w:rsidRPr="00CF210F">
        <w:rPr>
          <w:rFonts w:ascii="Times New Roman" w:eastAsia="Times New Roman" w:hAnsi="Times New Roman"/>
          <w:sz w:val="28"/>
          <w:szCs w:val="28"/>
          <w:lang w:eastAsia="en-US"/>
        </w:rPr>
        <w:t xml:space="preserve">роль в первичной диагностике </w:t>
      </w:r>
      <w:r w:rsidRPr="00CF210F">
        <w:rPr>
          <w:rFonts w:ascii="Times New Roman" w:eastAsia="Times New Roman" w:hAnsi="Times New Roman"/>
          <w:sz w:val="28"/>
          <w:szCs w:val="28"/>
          <w:lang w:val="uz-Cyrl-UZ" w:eastAsia="en-US"/>
        </w:rPr>
        <w:t xml:space="preserve"> </w:t>
      </w:r>
      <w:r w:rsidRPr="00CF210F">
        <w:rPr>
          <w:rFonts w:ascii="Times New Roman" w:eastAsia="Times New Roman" w:hAnsi="Times New Roman"/>
          <w:sz w:val="28"/>
          <w:szCs w:val="28"/>
          <w:lang w:eastAsia="en-US"/>
        </w:rPr>
        <w:t xml:space="preserve"> заболевания </w:t>
      </w:r>
      <w:r w:rsidRPr="00CF210F">
        <w:rPr>
          <w:rFonts w:ascii="Times New Roman" w:eastAsia="Times New Roman" w:hAnsi="Times New Roman"/>
          <w:sz w:val="28"/>
          <w:szCs w:val="28"/>
          <w:lang w:val="uz-Cyrl-UZ" w:eastAsia="en-US"/>
        </w:rPr>
        <w:t>путем применения высокотехнологичных методов диагностики</w:t>
      </w:r>
      <w:r w:rsidRPr="00CF210F">
        <w:rPr>
          <w:rFonts w:ascii="Times New Roman" w:eastAsia="Times New Roman" w:hAnsi="Times New Roman"/>
          <w:sz w:val="28"/>
          <w:szCs w:val="28"/>
          <w:lang w:eastAsia="en-US"/>
        </w:rPr>
        <w:t>;</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eastAsia="en-US"/>
        </w:rPr>
        <w:t xml:space="preserve">определить факторы прогноза заболевания </w:t>
      </w:r>
      <w:r w:rsidRPr="00CF210F">
        <w:rPr>
          <w:rFonts w:ascii="Times New Roman" w:eastAsia="Times New Roman" w:hAnsi="Times New Roman"/>
          <w:sz w:val="28"/>
          <w:szCs w:val="28"/>
          <w:lang w:val="uz-Cyrl-UZ" w:eastAsia="en-US"/>
        </w:rPr>
        <w:t>н</w:t>
      </w:r>
      <w:r w:rsidRPr="00CF210F">
        <w:rPr>
          <w:rFonts w:ascii="Times New Roman" w:eastAsia="Times New Roman" w:hAnsi="Times New Roman"/>
          <w:sz w:val="28"/>
          <w:szCs w:val="28"/>
          <w:lang w:eastAsia="en-US"/>
        </w:rPr>
        <w:t>а основе изучения клинико-морфологических и биохимических особенностей множественной миеломы</w:t>
      </w:r>
      <w:r w:rsidRPr="00CF210F">
        <w:rPr>
          <w:rFonts w:ascii="Times New Roman" w:eastAsia="Times New Roman" w:hAnsi="Times New Roman"/>
          <w:sz w:val="28"/>
          <w:szCs w:val="28"/>
          <w:lang w:val="uz-Cyrl-UZ" w:eastAsia="en-US"/>
        </w:rPr>
        <w:t>;</w:t>
      </w:r>
    </w:p>
    <w:p w:rsidR="008135F4" w:rsidRPr="00CF210F" w:rsidRDefault="00CA4766"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eastAsia="en-US"/>
        </w:rPr>
        <w:t>провести</w:t>
      </w:r>
      <w:r w:rsidR="008135F4" w:rsidRPr="00CF210F">
        <w:rPr>
          <w:rFonts w:ascii="Times New Roman" w:eastAsia="Times New Roman" w:hAnsi="Times New Roman"/>
          <w:sz w:val="28"/>
          <w:szCs w:val="28"/>
          <w:lang w:eastAsia="en-US"/>
        </w:rPr>
        <w:t xml:space="preserve"> сравнительный анализ эффективности методов лечения в применении </w:t>
      </w:r>
      <w:r w:rsidR="008135F4" w:rsidRPr="00CF210F">
        <w:rPr>
          <w:rFonts w:ascii="Times New Roman" w:eastAsia="Times New Roman" w:hAnsi="Times New Roman"/>
          <w:sz w:val="28"/>
          <w:szCs w:val="28"/>
          <w:lang w:val="uz-Cyrl-UZ" w:eastAsia="en-US"/>
        </w:rPr>
        <w:t xml:space="preserve">протоколов </w:t>
      </w:r>
      <w:r w:rsidR="008135F4" w:rsidRPr="00CF210F">
        <w:rPr>
          <w:rFonts w:ascii="Times New Roman" w:eastAsia="Times New Roman" w:hAnsi="Times New Roman"/>
          <w:sz w:val="28"/>
          <w:szCs w:val="28"/>
          <w:lang w:val="en-US" w:eastAsia="en-US"/>
        </w:rPr>
        <w:t>VCD</w:t>
      </w:r>
      <w:r w:rsidR="008135F4" w:rsidRPr="00CF210F">
        <w:rPr>
          <w:rFonts w:ascii="Times New Roman" w:eastAsia="Times New Roman" w:hAnsi="Times New Roman"/>
          <w:sz w:val="28"/>
          <w:szCs w:val="28"/>
          <w:lang w:val="uz-Cyrl-UZ" w:eastAsia="en-US"/>
        </w:rPr>
        <w:t xml:space="preserve"> и </w:t>
      </w:r>
      <w:r w:rsidR="008135F4" w:rsidRPr="00CF210F">
        <w:rPr>
          <w:rFonts w:ascii="Times New Roman" w:eastAsia="Times New Roman" w:hAnsi="Times New Roman"/>
          <w:sz w:val="28"/>
          <w:szCs w:val="28"/>
          <w:lang w:val="en-US" w:eastAsia="en-US"/>
        </w:rPr>
        <w:t>VCD</w:t>
      </w:r>
      <w:r w:rsidR="008135F4" w:rsidRPr="00CF210F">
        <w:rPr>
          <w:rFonts w:ascii="Times New Roman" w:eastAsia="Times New Roman" w:hAnsi="Times New Roman"/>
          <w:sz w:val="28"/>
          <w:szCs w:val="28"/>
          <w:lang w:eastAsia="en-US"/>
        </w:rPr>
        <w:t>+</w:t>
      </w:r>
      <w:r w:rsidR="008135F4" w:rsidRPr="00CF210F">
        <w:rPr>
          <w:rFonts w:ascii="Times New Roman" w:eastAsia="Times New Roman" w:hAnsi="Times New Roman"/>
          <w:sz w:val="28"/>
          <w:szCs w:val="28"/>
          <w:lang w:val="uz-Cyrl-UZ" w:eastAsia="en-US"/>
        </w:rPr>
        <w:t>аутоТГСК</w:t>
      </w:r>
      <w:r w:rsidR="008135F4" w:rsidRPr="00CF210F">
        <w:rPr>
          <w:rFonts w:ascii="Times New Roman" w:eastAsia="Times New Roman" w:hAnsi="Times New Roman"/>
          <w:sz w:val="28"/>
          <w:szCs w:val="28"/>
          <w:lang w:eastAsia="en-US"/>
        </w:rPr>
        <w:t xml:space="preserve"> при множественной миеломе</w:t>
      </w:r>
      <w:r w:rsidR="008135F4" w:rsidRPr="00CF210F">
        <w:rPr>
          <w:rFonts w:ascii="Times New Roman" w:eastAsia="Times New Roman" w:hAnsi="Times New Roman"/>
          <w:sz w:val="28"/>
          <w:szCs w:val="28"/>
          <w:lang w:val="uz-Cyrl-UZ" w:eastAsia="en-US"/>
        </w:rPr>
        <w:t>;</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val="uz-Cyrl-UZ" w:eastAsia="en-US"/>
        </w:rPr>
        <w:t xml:space="preserve">оценить </w:t>
      </w:r>
      <w:r w:rsidRPr="00CF210F">
        <w:rPr>
          <w:rFonts w:ascii="Times New Roman" w:eastAsia="Times New Roman" w:hAnsi="Times New Roman"/>
          <w:sz w:val="28"/>
          <w:szCs w:val="28"/>
          <w:lang w:eastAsia="en-US"/>
        </w:rPr>
        <w:t>выживаемость больных множественной миеломой в зависимости от проводимого лечения.</w:t>
      </w:r>
    </w:p>
    <w:p w:rsidR="008135F4" w:rsidRPr="00CF210F" w:rsidRDefault="008135F4" w:rsidP="00CF210F">
      <w:pPr>
        <w:spacing w:after="0" w:line="360" w:lineRule="auto"/>
        <w:ind w:firstLine="709"/>
        <w:jc w:val="both"/>
        <w:rPr>
          <w:rFonts w:ascii="Times New Roman" w:eastAsia="Times New Roman" w:hAnsi="Times New Roman"/>
          <w:sz w:val="28"/>
          <w:szCs w:val="28"/>
          <w:lang w:val="uz-Cyrl-UZ" w:eastAsia="en-US"/>
        </w:rPr>
      </w:pPr>
      <w:r w:rsidRPr="00CF210F">
        <w:rPr>
          <w:rFonts w:ascii="Times New Roman" w:eastAsia="Times New Roman" w:hAnsi="Times New Roman"/>
          <w:b/>
          <w:sz w:val="28"/>
          <w:szCs w:val="28"/>
          <w:lang w:eastAsia="en-US"/>
        </w:rPr>
        <w:t>Объектом исследования</w:t>
      </w:r>
      <w:r w:rsidRPr="00CF210F">
        <w:rPr>
          <w:rFonts w:ascii="Times New Roman" w:eastAsia="Times New Roman" w:hAnsi="Times New Roman"/>
          <w:spacing w:val="3"/>
          <w:sz w:val="28"/>
          <w:szCs w:val="28"/>
          <w:lang w:eastAsia="en-US"/>
        </w:rPr>
        <w:t xml:space="preserve"> явились </w:t>
      </w:r>
      <w:r w:rsidRPr="00CF210F">
        <w:rPr>
          <w:rFonts w:ascii="Times New Roman" w:eastAsia="Times New Roman" w:hAnsi="Times New Roman"/>
          <w:sz w:val="28"/>
          <w:szCs w:val="28"/>
          <w:lang w:eastAsia="en-US"/>
        </w:rPr>
        <w:t xml:space="preserve">124 </w:t>
      </w:r>
      <w:r w:rsidRPr="00CF210F">
        <w:rPr>
          <w:rFonts w:ascii="Times New Roman" w:eastAsia="Times New Roman" w:hAnsi="Times New Roman"/>
          <w:spacing w:val="3"/>
          <w:sz w:val="28"/>
          <w:szCs w:val="28"/>
          <w:lang w:eastAsia="en-US"/>
        </w:rPr>
        <w:t>больны</w:t>
      </w:r>
      <w:r w:rsidRPr="00CF210F">
        <w:rPr>
          <w:rFonts w:ascii="Times New Roman" w:eastAsia="Times New Roman" w:hAnsi="Times New Roman"/>
          <w:spacing w:val="3"/>
          <w:sz w:val="28"/>
          <w:szCs w:val="28"/>
          <w:lang w:val="uz-Cyrl-UZ" w:eastAsia="en-US"/>
        </w:rPr>
        <w:t xml:space="preserve">х с </w:t>
      </w:r>
      <w:r w:rsidRPr="00CF210F">
        <w:rPr>
          <w:rFonts w:ascii="Times New Roman" w:eastAsia="Times New Roman" w:hAnsi="Times New Roman"/>
          <w:spacing w:val="3"/>
          <w:sz w:val="28"/>
          <w:szCs w:val="28"/>
          <w:lang w:eastAsia="en-US"/>
        </w:rPr>
        <w:t xml:space="preserve">множественной миеломой </w:t>
      </w:r>
      <w:r w:rsidRPr="00CF210F">
        <w:rPr>
          <w:rFonts w:ascii="Times New Roman" w:eastAsia="Times New Roman" w:hAnsi="Times New Roman"/>
          <w:sz w:val="28"/>
          <w:szCs w:val="28"/>
          <w:lang w:eastAsia="en-US"/>
        </w:rPr>
        <w:t xml:space="preserve">в возрасте от 22 до 80 лет, находящихся на диспансерном учете НИИГ и ПК МЗ РУз. </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b/>
          <w:sz w:val="28"/>
          <w:szCs w:val="28"/>
          <w:lang w:eastAsia="en-US"/>
        </w:rPr>
        <w:t xml:space="preserve">Предметом исследования </w:t>
      </w:r>
      <w:r w:rsidRPr="00CF210F">
        <w:rPr>
          <w:rFonts w:ascii="Times New Roman" w:eastAsia="Times New Roman" w:hAnsi="Times New Roman"/>
          <w:sz w:val="28"/>
          <w:szCs w:val="28"/>
          <w:lang w:eastAsia="en-US"/>
        </w:rPr>
        <w:t>являлись</w:t>
      </w:r>
      <w:r w:rsidRPr="00CF210F">
        <w:rPr>
          <w:rFonts w:ascii="Times New Roman" w:eastAsia="Times New Roman" w:hAnsi="Times New Roman"/>
          <w:b/>
          <w:sz w:val="28"/>
          <w:szCs w:val="28"/>
          <w:lang w:eastAsia="en-US"/>
        </w:rPr>
        <w:t xml:space="preserve"> </w:t>
      </w:r>
      <w:r w:rsidRPr="00CF210F">
        <w:rPr>
          <w:rFonts w:ascii="Times New Roman" w:eastAsia="Times New Roman" w:hAnsi="Times New Roman"/>
          <w:sz w:val="28"/>
          <w:szCs w:val="28"/>
          <w:lang w:eastAsia="en-US"/>
        </w:rPr>
        <w:t>периферическая,</w:t>
      </w:r>
      <w:r w:rsidRPr="00CF210F">
        <w:rPr>
          <w:rFonts w:ascii="Times New Roman" w:eastAsia="Times New Roman" w:hAnsi="Times New Roman"/>
          <w:b/>
          <w:sz w:val="28"/>
          <w:szCs w:val="28"/>
          <w:lang w:eastAsia="en-US"/>
        </w:rPr>
        <w:t xml:space="preserve"> </w:t>
      </w:r>
      <w:r w:rsidRPr="00CF210F">
        <w:rPr>
          <w:rFonts w:ascii="Times New Roman" w:eastAsia="Times New Roman" w:hAnsi="Times New Roman"/>
          <w:sz w:val="28"/>
          <w:szCs w:val="28"/>
          <w:lang w:eastAsia="en-US"/>
        </w:rPr>
        <w:t>венозная кровь, миелограмма, моча для определения основных клинико-лабораторных показателей.</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b/>
          <w:sz w:val="28"/>
          <w:szCs w:val="28"/>
          <w:lang w:eastAsia="en-US"/>
        </w:rPr>
        <w:t>Методы исследования</w:t>
      </w:r>
      <w:r w:rsidRPr="00CF210F">
        <w:rPr>
          <w:rFonts w:ascii="Times New Roman" w:eastAsia="Times New Roman" w:hAnsi="Times New Roman"/>
          <w:b/>
          <w:sz w:val="28"/>
          <w:szCs w:val="28"/>
          <w:lang w:val="uz-Cyrl-UZ" w:eastAsia="en-US"/>
        </w:rPr>
        <w:t xml:space="preserve">. </w:t>
      </w:r>
      <w:r w:rsidRPr="00CF210F">
        <w:rPr>
          <w:rFonts w:ascii="Times New Roman" w:eastAsia="Times New Roman" w:hAnsi="Times New Roman"/>
          <w:sz w:val="28"/>
          <w:szCs w:val="28"/>
          <w:lang w:eastAsia="en-US"/>
        </w:rPr>
        <w:t>В диссертации использованы  клинические, биохимические, иммунологические, морфологические, инструментальные и статистические методы исследования.</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b/>
          <w:bCs/>
          <w:sz w:val="28"/>
          <w:szCs w:val="28"/>
          <w:lang w:eastAsia="en-US"/>
        </w:rPr>
        <w:t xml:space="preserve">Научная новизна исследования </w:t>
      </w:r>
      <w:r w:rsidRPr="00CF210F">
        <w:rPr>
          <w:rFonts w:ascii="Times New Roman" w:eastAsia="Times New Roman" w:hAnsi="Times New Roman"/>
          <w:bCs/>
          <w:sz w:val="28"/>
          <w:szCs w:val="28"/>
          <w:lang w:eastAsia="en-US"/>
        </w:rPr>
        <w:t>заключается в следующем:</w:t>
      </w:r>
    </w:p>
    <w:p w:rsidR="008135F4" w:rsidRPr="00CF210F" w:rsidRDefault="008135F4" w:rsidP="00CF210F">
      <w:pPr>
        <w:spacing w:after="0" w:line="360" w:lineRule="auto"/>
        <w:ind w:firstLine="709"/>
        <w:jc w:val="both"/>
        <w:rPr>
          <w:rFonts w:ascii="Times New Roman" w:eastAsia="Times New Roman" w:hAnsi="Times New Roman"/>
          <w:sz w:val="28"/>
          <w:szCs w:val="28"/>
          <w:lang w:val="uz-Cyrl-UZ" w:eastAsia="en-US"/>
        </w:rPr>
      </w:pPr>
      <w:r w:rsidRPr="00CF210F">
        <w:rPr>
          <w:rFonts w:ascii="Times New Roman" w:eastAsia="Times New Roman" w:hAnsi="Times New Roman"/>
          <w:sz w:val="28"/>
          <w:szCs w:val="28"/>
          <w:lang w:val="uz-Cyrl-UZ" w:eastAsia="en-US"/>
        </w:rPr>
        <w:t xml:space="preserve">впервые </w:t>
      </w:r>
      <w:r w:rsidRPr="00CF210F">
        <w:rPr>
          <w:rFonts w:ascii="Times New Roman" w:eastAsia="Times New Roman" w:hAnsi="Times New Roman"/>
          <w:sz w:val="28"/>
          <w:szCs w:val="28"/>
          <w:lang w:eastAsia="en-US"/>
        </w:rPr>
        <w:t>в Узбекистане у больных ММ установлены иммунохимические варианты, которые имеют существенное как диагностическое, так и прогностическое значение   ММ</w:t>
      </w:r>
      <w:r w:rsidRPr="00CF210F">
        <w:rPr>
          <w:rFonts w:ascii="Times New Roman" w:eastAsia="Times New Roman" w:hAnsi="Times New Roman"/>
          <w:sz w:val="28"/>
          <w:szCs w:val="28"/>
          <w:lang w:val="uz-Cyrl-UZ" w:eastAsia="en-US"/>
        </w:rPr>
        <w:t>;</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val="uz-Cyrl-UZ" w:eastAsia="en-US"/>
        </w:rPr>
        <w:t xml:space="preserve">впервые </w:t>
      </w:r>
      <w:r w:rsidRPr="00CF210F">
        <w:rPr>
          <w:rFonts w:ascii="Times New Roman" w:eastAsia="Times New Roman" w:hAnsi="Times New Roman"/>
          <w:sz w:val="28"/>
          <w:szCs w:val="28"/>
          <w:lang w:eastAsia="en-US"/>
        </w:rPr>
        <w:t>выявлены значимые клинико-диагностические факторы, определяющие неблагоприятное течение ММ</w:t>
      </w:r>
      <w:r w:rsidRPr="00CF210F">
        <w:rPr>
          <w:rFonts w:ascii="Times New Roman" w:eastAsia="Times New Roman" w:hAnsi="Times New Roman"/>
          <w:sz w:val="28"/>
          <w:szCs w:val="28"/>
          <w:lang w:val="uz-Cyrl-UZ" w:eastAsia="en-US"/>
        </w:rPr>
        <w:t>;</w:t>
      </w:r>
      <w:r w:rsidRPr="00CF210F">
        <w:rPr>
          <w:rFonts w:ascii="Times New Roman" w:eastAsia="Times New Roman" w:hAnsi="Times New Roman"/>
          <w:sz w:val="28"/>
          <w:szCs w:val="28"/>
          <w:lang w:eastAsia="en-US"/>
        </w:rPr>
        <w:t xml:space="preserve"> </w:t>
      </w:r>
    </w:p>
    <w:p w:rsidR="008135F4" w:rsidRPr="00CF210F" w:rsidRDefault="008135F4" w:rsidP="00CF210F">
      <w:pPr>
        <w:tabs>
          <w:tab w:val="left" w:pos="709"/>
        </w:tabs>
        <w:spacing w:after="0" w:line="360" w:lineRule="auto"/>
        <w:ind w:firstLine="567"/>
        <w:jc w:val="both"/>
        <w:rPr>
          <w:rFonts w:ascii="Times New Roman" w:eastAsia="Times New Roman" w:hAnsi="Times New Roman"/>
          <w:sz w:val="28"/>
          <w:szCs w:val="28"/>
          <w:lang w:val="uz-Cyrl-UZ"/>
        </w:rPr>
      </w:pPr>
      <w:r w:rsidRPr="00CF210F">
        <w:rPr>
          <w:rFonts w:ascii="Times New Roman" w:eastAsia="Times New Roman" w:hAnsi="Times New Roman"/>
          <w:sz w:val="28"/>
          <w:szCs w:val="28"/>
          <w:lang w:val="uz-Cyrl-UZ"/>
        </w:rPr>
        <w:t xml:space="preserve"> доказано, что эффективность лечения увеличилась в 3.6 раза (р&lt;0,01) в группе пациентов с применением полихимиотерапия + трансплантация </w:t>
      </w:r>
      <w:r w:rsidRPr="00CF210F">
        <w:rPr>
          <w:rFonts w:ascii="Times New Roman" w:eastAsia="Times New Roman" w:hAnsi="Times New Roman"/>
          <w:sz w:val="28"/>
          <w:szCs w:val="28"/>
          <w:lang w:val="uz-Cyrl-UZ"/>
        </w:rPr>
        <w:lastRenderedPageBreak/>
        <w:t>аутологичных гемопоэтических стволовых клеток,  по сравнению с пациентами которые, применяли только полихимиотерапию при миеломной болезни;</w:t>
      </w:r>
    </w:p>
    <w:p w:rsidR="008135F4" w:rsidRPr="00CF210F" w:rsidRDefault="008135F4" w:rsidP="00CF210F">
      <w:pPr>
        <w:tabs>
          <w:tab w:val="left" w:pos="709"/>
        </w:tabs>
        <w:spacing w:after="0" w:line="360" w:lineRule="auto"/>
        <w:ind w:firstLine="567"/>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val="uz-Cyrl-UZ"/>
        </w:rPr>
        <w:t xml:space="preserve"> обосновано, что </w:t>
      </w:r>
      <w:r w:rsidRPr="00CF210F">
        <w:rPr>
          <w:rFonts w:ascii="Times New Roman" w:eastAsia="Times New Roman" w:hAnsi="Times New Roman"/>
          <w:sz w:val="28"/>
          <w:szCs w:val="28"/>
          <w:lang w:val="uz-Cyrl-UZ" w:eastAsia="en-US"/>
        </w:rPr>
        <w:t xml:space="preserve">впервые внедренное </w:t>
      </w:r>
      <w:bookmarkStart w:id="5" w:name="_Hlk25915877"/>
      <w:r w:rsidRPr="00CF210F">
        <w:rPr>
          <w:rFonts w:ascii="Times New Roman" w:eastAsia="Times New Roman" w:hAnsi="Times New Roman"/>
          <w:sz w:val="28"/>
          <w:szCs w:val="28"/>
          <w:lang w:eastAsia="en-US"/>
        </w:rPr>
        <w:t>ауто-ТГСК</w:t>
      </w:r>
      <w:bookmarkEnd w:id="5"/>
      <w:r w:rsidRPr="00CF210F">
        <w:rPr>
          <w:rFonts w:ascii="Times New Roman" w:eastAsia="Times New Roman" w:hAnsi="Times New Roman"/>
          <w:sz w:val="28"/>
          <w:szCs w:val="28"/>
          <w:lang w:val="uz-Cyrl-UZ" w:eastAsia="en-US"/>
        </w:rPr>
        <w:t xml:space="preserve"> </w:t>
      </w:r>
      <w:r w:rsidRPr="00CF210F">
        <w:rPr>
          <w:rFonts w:ascii="Times New Roman" w:eastAsia="Times New Roman" w:hAnsi="Times New Roman"/>
          <w:sz w:val="28"/>
          <w:szCs w:val="28"/>
          <w:lang w:eastAsia="en-US"/>
        </w:rPr>
        <w:t>в Узбекистане</w:t>
      </w:r>
      <w:r w:rsidRPr="00CF210F">
        <w:rPr>
          <w:rFonts w:ascii="Times New Roman" w:eastAsia="Times New Roman" w:hAnsi="Times New Roman"/>
          <w:sz w:val="28"/>
          <w:szCs w:val="28"/>
          <w:lang w:val="uz-Cyrl-UZ" w:eastAsia="en-US"/>
        </w:rPr>
        <w:t xml:space="preserve"> позволит повысить показатели </w:t>
      </w:r>
      <w:r w:rsidRPr="00CF210F">
        <w:rPr>
          <w:rFonts w:ascii="Times New Roman" w:eastAsia="Times New Roman" w:hAnsi="Times New Roman"/>
          <w:sz w:val="28"/>
          <w:szCs w:val="28"/>
          <w:lang w:eastAsia="en-US"/>
        </w:rPr>
        <w:t xml:space="preserve"> без рецидивной и общей выживаемости.</w:t>
      </w:r>
    </w:p>
    <w:p w:rsidR="008135F4" w:rsidRPr="00CF210F" w:rsidRDefault="008135F4" w:rsidP="00CF210F">
      <w:pPr>
        <w:spacing w:after="0" w:line="360" w:lineRule="auto"/>
        <w:ind w:firstLine="709"/>
        <w:jc w:val="both"/>
        <w:rPr>
          <w:rFonts w:ascii="Times New Roman" w:eastAsia="Times New Roman" w:hAnsi="Times New Roman"/>
          <w:b/>
          <w:sz w:val="28"/>
          <w:szCs w:val="28"/>
          <w:lang w:eastAsia="en-US"/>
        </w:rPr>
      </w:pPr>
      <w:bookmarkStart w:id="6" w:name="_Hlk6771988"/>
      <w:r w:rsidRPr="00CF210F">
        <w:rPr>
          <w:rFonts w:ascii="Times New Roman" w:eastAsia="Times New Roman" w:hAnsi="Times New Roman"/>
          <w:b/>
          <w:sz w:val="28"/>
          <w:szCs w:val="28"/>
          <w:lang w:eastAsia="en-US"/>
        </w:rPr>
        <w:t>Практические результаты исследования заключаются в следующем:</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val="uz-Cyrl-UZ" w:eastAsia="en-US"/>
        </w:rPr>
        <w:t>обоснована</w:t>
      </w:r>
      <w:r w:rsidRPr="00CF210F">
        <w:rPr>
          <w:rFonts w:ascii="Times New Roman" w:eastAsia="Times New Roman" w:hAnsi="Times New Roman"/>
          <w:sz w:val="28"/>
          <w:szCs w:val="28"/>
          <w:lang w:eastAsia="en-US"/>
        </w:rPr>
        <w:t xml:space="preserve"> </w:t>
      </w:r>
      <w:bookmarkStart w:id="7" w:name="_Hlk25915971"/>
      <w:r w:rsidRPr="00CF210F">
        <w:rPr>
          <w:rFonts w:ascii="Times New Roman" w:eastAsia="Times New Roman" w:hAnsi="Times New Roman"/>
          <w:sz w:val="28"/>
          <w:szCs w:val="28"/>
          <w:lang w:eastAsia="en-US"/>
        </w:rPr>
        <w:t xml:space="preserve">прогностическая значимость иммунохимических вариантов </w:t>
      </w:r>
      <w:r w:rsidRPr="00CF210F">
        <w:rPr>
          <w:rFonts w:ascii="Times New Roman" w:eastAsia="Times New Roman" w:hAnsi="Times New Roman"/>
          <w:sz w:val="28"/>
          <w:szCs w:val="28"/>
          <w:lang w:val="uz-Cyrl-UZ" w:eastAsia="en-US"/>
        </w:rPr>
        <w:t xml:space="preserve">множественной миеломы </w:t>
      </w:r>
      <w:r w:rsidRPr="00CF210F">
        <w:rPr>
          <w:rFonts w:ascii="Times New Roman" w:eastAsia="Times New Roman" w:hAnsi="Times New Roman"/>
          <w:sz w:val="28"/>
          <w:szCs w:val="28"/>
          <w:lang w:eastAsia="en-US"/>
        </w:rPr>
        <w:t xml:space="preserve">в формировании неблагоприятных </w:t>
      </w:r>
      <w:bookmarkEnd w:id="7"/>
      <w:r w:rsidRPr="00CF210F">
        <w:rPr>
          <w:rFonts w:ascii="Times New Roman" w:eastAsia="Times New Roman" w:hAnsi="Times New Roman"/>
          <w:sz w:val="28"/>
          <w:szCs w:val="28"/>
          <w:lang w:eastAsia="en-US"/>
        </w:rPr>
        <w:t xml:space="preserve">исходов клинического течения заболевания; </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val="uz-Cyrl-UZ" w:eastAsia="en-US"/>
        </w:rPr>
        <w:t>дана</w:t>
      </w:r>
      <w:r w:rsidRPr="00CF210F">
        <w:rPr>
          <w:rFonts w:ascii="Times New Roman" w:eastAsia="Times New Roman" w:hAnsi="Times New Roman"/>
          <w:sz w:val="28"/>
          <w:szCs w:val="28"/>
          <w:lang w:eastAsia="en-US"/>
        </w:rPr>
        <w:t xml:space="preserve"> сравнительная оценка эффективности применяемых протоколов лечения </w:t>
      </w:r>
      <w:r w:rsidRPr="00CF210F">
        <w:rPr>
          <w:rFonts w:ascii="Times New Roman" w:eastAsia="Times New Roman" w:hAnsi="Times New Roman"/>
          <w:sz w:val="28"/>
          <w:szCs w:val="28"/>
          <w:lang w:val="uz-Cyrl-UZ" w:eastAsia="en-US"/>
        </w:rPr>
        <w:t>множественной миеломы;</w:t>
      </w:r>
    </w:p>
    <w:p w:rsidR="008135F4" w:rsidRPr="00CF210F" w:rsidRDefault="008135F4" w:rsidP="00CF210F">
      <w:pPr>
        <w:spacing w:after="0" w:line="360" w:lineRule="auto"/>
        <w:ind w:firstLine="709"/>
        <w:jc w:val="both"/>
        <w:rPr>
          <w:rFonts w:ascii="Times New Roman" w:eastAsia="Times New Roman" w:hAnsi="Times New Roman"/>
          <w:sz w:val="28"/>
          <w:szCs w:val="28"/>
          <w:lang w:eastAsia="en-US"/>
        </w:rPr>
      </w:pPr>
      <w:r w:rsidRPr="00CF210F">
        <w:rPr>
          <w:rFonts w:ascii="Times New Roman" w:eastAsia="Times New Roman" w:hAnsi="Times New Roman"/>
          <w:sz w:val="28"/>
          <w:szCs w:val="28"/>
          <w:lang w:val="uz-Cyrl-UZ" w:eastAsia="en-US"/>
        </w:rPr>
        <w:t xml:space="preserve">усовершенствованы </w:t>
      </w:r>
      <w:r w:rsidRPr="00CF210F">
        <w:rPr>
          <w:rFonts w:ascii="Times New Roman" w:eastAsia="Times New Roman" w:hAnsi="Times New Roman"/>
          <w:sz w:val="28"/>
          <w:szCs w:val="28"/>
          <w:lang w:eastAsia="en-US"/>
        </w:rPr>
        <w:t xml:space="preserve">методы </w:t>
      </w:r>
      <w:r w:rsidRPr="00CF210F">
        <w:rPr>
          <w:rFonts w:ascii="Times New Roman" w:eastAsia="Times New Roman" w:hAnsi="Times New Roman"/>
          <w:sz w:val="28"/>
          <w:szCs w:val="28"/>
          <w:lang w:val="uz-Cyrl-UZ" w:eastAsia="en-US"/>
        </w:rPr>
        <w:t xml:space="preserve">диагностики, </w:t>
      </w:r>
      <w:r w:rsidRPr="00CF210F">
        <w:rPr>
          <w:rFonts w:ascii="Times New Roman" w:eastAsia="Times New Roman" w:hAnsi="Times New Roman"/>
          <w:sz w:val="28"/>
          <w:szCs w:val="28"/>
          <w:lang w:eastAsia="en-US"/>
        </w:rPr>
        <w:t xml:space="preserve">прогнозирования течения и лечения </w:t>
      </w:r>
      <w:r w:rsidRPr="00CF210F">
        <w:rPr>
          <w:rFonts w:ascii="Times New Roman" w:eastAsia="Times New Roman" w:hAnsi="Times New Roman"/>
          <w:sz w:val="28"/>
          <w:szCs w:val="28"/>
          <w:lang w:val="uz-Cyrl-UZ" w:eastAsia="en-US"/>
        </w:rPr>
        <w:t>множественной миеломы.</w:t>
      </w:r>
      <w:bookmarkEnd w:id="6"/>
    </w:p>
    <w:p w:rsidR="008135F4" w:rsidRPr="00CF210F" w:rsidRDefault="008135F4" w:rsidP="00CF210F">
      <w:pPr>
        <w:spacing w:after="0" w:line="360" w:lineRule="auto"/>
        <w:ind w:firstLine="567"/>
        <w:jc w:val="both"/>
        <w:rPr>
          <w:rFonts w:ascii="Times New Roman" w:eastAsia="Calibri" w:hAnsi="Times New Roman"/>
          <w:sz w:val="28"/>
          <w:szCs w:val="28"/>
          <w:lang w:eastAsia="en-US"/>
        </w:rPr>
      </w:pPr>
      <w:r w:rsidRPr="00CF210F">
        <w:rPr>
          <w:rFonts w:ascii="Times New Roman" w:eastAsia="Calibri" w:hAnsi="Times New Roman"/>
          <w:b/>
          <w:sz w:val="28"/>
          <w:szCs w:val="28"/>
          <w:lang w:eastAsia="en-US"/>
        </w:rPr>
        <w:t xml:space="preserve">Достоверность результатов исследований </w:t>
      </w:r>
      <w:r w:rsidRPr="00CF210F">
        <w:rPr>
          <w:rFonts w:ascii="Times New Roman" w:eastAsia="Calibri" w:hAnsi="Times New Roman"/>
          <w:sz w:val="28"/>
          <w:szCs w:val="28"/>
          <w:lang w:eastAsia="en-US"/>
        </w:rPr>
        <w:t>обосновывается правильностью использованного в работе теоретического подхода, применением адекватных и высокоспецифичных, современных, взаимодополняющих клинических и лабораторных методов исследования, достаточным числом пациентов и точностью результатов проведенных анализов, подвергнутых статистической обработке, рациональной оценкой и сопоставлением полученных результатов с международными и отечественными исследованиями, одобрением выводов полученных результатов уполномоченными структурами.</w:t>
      </w:r>
    </w:p>
    <w:p w:rsidR="008135F4" w:rsidRPr="00CF210F" w:rsidRDefault="008135F4" w:rsidP="00CF210F">
      <w:pPr>
        <w:spacing w:after="0" w:line="360" w:lineRule="auto"/>
        <w:ind w:firstLine="567"/>
        <w:jc w:val="both"/>
        <w:rPr>
          <w:rFonts w:ascii="Times New Roman" w:eastAsia="Calibri" w:hAnsi="Times New Roman"/>
          <w:sz w:val="28"/>
          <w:szCs w:val="28"/>
          <w:lang w:eastAsia="en-US"/>
        </w:rPr>
      </w:pPr>
      <w:r w:rsidRPr="00CF210F">
        <w:rPr>
          <w:rFonts w:ascii="Times New Roman" w:eastAsia="Calibri" w:hAnsi="Times New Roman"/>
          <w:b/>
          <w:sz w:val="28"/>
          <w:szCs w:val="28"/>
          <w:lang w:eastAsia="en-US"/>
        </w:rPr>
        <w:t xml:space="preserve">Научная и практическая значимость результатов исследования. </w:t>
      </w:r>
      <w:r w:rsidRPr="00CF210F">
        <w:rPr>
          <w:rFonts w:ascii="Times New Roman" w:eastAsia="Calibri" w:hAnsi="Times New Roman"/>
          <w:sz w:val="28"/>
          <w:szCs w:val="28"/>
          <w:lang w:eastAsia="en-US"/>
        </w:rPr>
        <w:t xml:space="preserve">Теоретическая значимость работы заключается в том, что установлена частота встречаемости иммунохимических вариантов множественной миеломы в Узбекистане, выявлены особенности клинических и лабораторных проявлений множественной миеломы в зависимости от иммунохимического варианта заболевания; определены клинические и лабораторные предикторы неблагоприятного течения множественной </w:t>
      </w:r>
      <w:r w:rsidRPr="00CF210F">
        <w:rPr>
          <w:rFonts w:ascii="Times New Roman" w:eastAsia="Calibri" w:hAnsi="Times New Roman"/>
          <w:sz w:val="28"/>
          <w:szCs w:val="28"/>
          <w:lang w:eastAsia="en-US"/>
        </w:rPr>
        <w:lastRenderedPageBreak/>
        <w:t>миеломы;  установлена эффективность применения ауто-ТГСК у больных множественной миеломой.</w:t>
      </w:r>
    </w:p>
    <w:p w:rsidR="008135F4" w:rsidRPr="00CF210F" w:rsidRDefault="008135F4" w:rsidP="00CF210F">
      <w:pPr>
        <w:spacing w:after="0" w:line="360" w:lineRule="auto"/>
        <w:ind w:firstLine="567"/>
        <w:jc w:val="both"/>
        <w:rPr>
          <w:rFonts w:ascii="Times New Roman" w:eastAsia="Calibri" w:hAnsi="Times New Roman"/>
          <w:sz w:val="28"/>
          <w:szCs w:val="28"/>
          <w:lang w:eastAsia="en-US"/>
        </w:rPr>
      </w:pPr>
      <w:r w:rsidRPr="00CF210F">
        <w:rPr>
          <w:rFonts w:ascii="Times New Roman" w:eastAsia="Calibri" w:hAnsi="Times New Roman"/>
          <w:sz w:val="28"/>
          <w:szCs w:val="28"/>
          <w:lang w:eastAsia="en-US"/>
        </w:rPr>
        <w:t xml:space="preserve">Практическая значимость исследования заключается в том, что доказана и обоснована необходимость определения иммунохимических вариантов </w:t>
      </w:r>
      <w:r w:rsidRPr="00CF210F">
        <w:rPr>
          <w:rFonts w:ascii="Times New Roman" w:eastAsia="Calibri" w:hAnsi="Times New Roman"/>
          <w:sz w:val="28"/>
          <w:szCs w:val="28"/>
          <w:lang w:val="uz-Cyrl-UZ" w:eastAsia="en-US"/>
        </w:rPr>
        <w:t>множественной миеломы,</w:t>
      </w:r>
      <w:r w:rsidRPr="00CF210F">
        <w:rPr>
          <w:rFonts w:ascii="Times New Roman" w:eastAsia="Calibri" w:hAnsi="Times New Roman"/>
          <w:sz w:val="28"/>
          <w:szCs w:val="28"/>
          <w:lang w:eastAsia="en-US"/>
        </w:rPr>
        <w:t xml:space="preserve"> имеющие важное прогностическое значение в развитии неблагоприятного течения заболевания.  Для повышения эффективности лечения больных </w:t>
      </w:r>
      <w:r w:rsidRPr="00CF210F">
        <w:rPr>
          <w:rFonts w:ascii="Times New Roman" w:eastAsia="Calibri" w:hAnsi="Times New Roman"/>
          <w:sz w:val="28"/>
          <w:szCs w:val="28"/>
          <w:lang w:val="uz-Cyrl-UZ" w:eastAsia="en-US"/>
        </w:rPr>
        <w:t>множественной миеломой</w:t>
      </w:r>
      <w:r w:rsidRPr="00CF210F">
        <w:rPr>
          <w:rFonts w:ascii="Times New Roman" w:eastAsia="Calibri" w:hAnsi="Times New Roman"/>
          <w:sz w:val="28"/>
          <w:szCs w:val="28"/>
          <w:lang w:eastAsia="en-US"/>
        </w:rPr>
        <w:t xml:space="preserve"> рекомендовано применение ауто</w:t>
      </w:r>
      <w:r w:rsidRPr="00CF210F">
        <w:rPr>
          <w:rFonts w:ascii="Times New Roman" w:eastAsia="Calibri" w:hAnsi="Times New Roman"/>
          <w:sz w:val="28"/>
          <w:szCs w:val="28"/>
          <w:lang w:val="uz-Cyrl-UZ" w:eastAsia="en-US"/>
        </w:rPr>
        <w:t>логическая трансплантация гемопоэтических стволовых клеток</w:t>
      </w:r>
      <w:r w:rsidRPr="00CF210F">
        <w:rPr>
          <w:rFonts w:ascii="Times New Roman" w:eastAsia="Calibri" w:hAnsi="Times New Roman"/>
          <w:sz w:val="28"/>
          <w:szCs w:val="28"/>
          <w:lang w:eastAsia="en-US"/>
        </w:rPr>
        <w:t>.</w:t>
      </w:r>
    </w:p>
    <w:p w:rsidR="008135F4" w:rsidRPr="00CF210F" w:rsidRDefault="008135F4" w:rsidP="00CF210F">
      <w:pPr>
        <w:spacing w:after="0" w:line="360" w:lineRule="auto"/>
        <w:ind w:firstLine="709"/>
        <w:jc w:val="both"/>
        <w:rPr>
          <w:rFonts w:ascii="Times New Roman" w:eastAsia="Calibri" w:hAnsi="Times New Roman"/>
          <w:sz w:val="28"/>
          <w:szCs w:val="28"/>
          <w:lang w:eastAsia="en-US"/>
        </w:rPr>
      </w:pPr>
      <w:r w:rsidRPr="00CF210F">
        <w:rPr>
          <w:rFonts w:ascii="Times New Roman" w:eastAsia="Times New Roman" w:hAnsi="Times New Roman"/>
          <w:b/>
          <w:iCs/>
          <w:sz w:val="28"/>
          <w:szCs w:val="28"/>
          <w:lang w:eastAsia="en-US"/>
        </w:rPr>
        <w:t xml:space="preserve"> </w:t>
      </w:r>
      <w:r w:rsidRPr="00CF210F">
        <w:rPr>
          <w:rFonts w:ascii="Times New Roman" w:eastAsia="Calibri" w:hAnsi="Times New Roman"/>
          <w:b/>
          <w:sz w:val="28"/>
          <w:szCs w:val="28"/>
          <w:lang w:eastAsia="en-US"/>
        </w:rPr>
        <w:t xml:space="preserve">Внедрение результатов исследования. </w:t>
      </w:r>
      <w:r w:rsidRPr="00CF210F">
        <w:rPr>
          <w:rFonts w:ascii="Times New Roman" w:eastAsia="Calibri" w:hAnsi="Times New Roman"/>
          <w:sz w:val="28"/>
          <w:szCs w:val="28"/>
          <w:lang w:eastAsia="en-US"/>
        </w:rPr>
        <w:t xml:space="preserve">На основании полученных научных результатов по изучению высокотехнологичных методов диагностики и лечения </w:t>
      </w:r>
      <w:r w:rsidRPr="00CF210F">
        <w:rPr>
          <w:rFonts w:ascii="Times New Roman" w:eastAsia="Calibri" w:hAnsi="Times New Roman"/>
          <w:sz w:val="28"/>
          <w:szCs w:val="28"/>
          <w:lang w:val="uz-Cyrl-UZ" w:eastAsia="en-US"/>
        </w:rPr>
        <w:t>множественной миеломы</w:t>
      </w:r>
      <w:r w:rsidRPr="00CF210F">
        <w:rPr>
          <w:rFonts w:ascii="Times New Roman" w:eastAsia="Calibri" w:hAnsi="Times New Roman"/>
          <w:sz w:val="28"/>
          <w:szCs w:val="28"/>
          <w:lang w:eastAsia="en-US"/>
        </w:rPr>
        <w:t xml:space="preserve">:  </w:t>
      </w:r>
    </w:p>
    <w:p w:rsidR="008135F4" w:rsidRPr="00CF210F" w:rsidRDefault="008135F4" w:rsidP="00CF210F">
      <w:pPr>
        <w:spacing w:after="0" w:line="360" w:lineRule="auto"/>
        <w:ind w:firstLine="709"/>
        <w:jc w:val="both"/>
        <w:rPr>
          <w:rFonts w:ascii="Times New Roman" w:eastAsia="Calibri" w:hAnsi="Times New Roman"/>
          <w:sz w:val="28"/>
          <w:szCs w:val="28"/>
          <w:lang w:eastAsia="en-US"/>
        </w:rPr>
      </w:pPr>
      <w:r w:rsidRPr="00CF210F">
        <w:rPr>
          <w:rFonts w:ascii="Times New Roman" w:eastAsia="Calibri" w:hAnsi="Times New Roman"/>
          <w:sz w:val="28"/>
          <w:szCs w:val="28"/>
          <w:lang w:eastAsia="en-US"/>
        </w:rPr>
        <w:t xml:space="preserve">Утверждены методические рекомендации «Лечебно-диагностический алгоритм множественной миеломы» (утверждено в Министерстве здравоохранения за 8н-д/190 от 21 сентября 2019 года). Данные рекомендации позволили оценить высокотехнологичных методов диагностики и лечения </w:t>
      </w:r>
      <w:r w:rsidR="00203556">
        <w:rPr>
          <w:rFonts w:ascii="Times New Roman" w:eastAsia="Calibri" w:hAnsi="Times New Roman"/>
          <w:sz w:val="28"/>
          <w:szCs w:val="28"/>
          <w:lang w:eastAsia="en-US"/>
        </w:rPr>
        <w:t>множественной миеломы</w:t>
      </w:r>
      <w:r w:rsidRPr="00CF210F">
        <w:rPr>
          <w:rFonts w:ascii="Times New Roman" w:eastAsia="Calibri" w:hAnsi="Times New Roman"/>
          <w:sz w:val="28"/>
          <w:szCs w:val="28"/>
          <w:lang w:eastAsia="en-US"/>
        </w:rPr>
        <w:t xml:space="preserve">; </w:t>
      </w:r>
    </w:p>
    <w:p w:rsidR="008135F4" w:rsidRPr="00CF210F" w:rsidRDefault="008135F4" w:rsidP="00CF210F">
      <w:pPr>
        <w:spacing w:after="0" w:line="360" w:lineRule="auto"/>
        <w:ind w:firstLine="709"/>
        <w:jc w:val="both"/>
        <w:rPr>
          <w:rFonts w:ascii="Times New Roman" w:eastAsia="Calibri" w:hAnsi="Times New Roman"/>
          <w:sz w:val="28"/>
          <w:szCs w:val="28"/>
          <w:lang w:eastAsia="en-US"/>
        </w:rPr>
      </w:pPr>
      <w:r w:rsidRPr="00CF210F">
        <w:rPr>
          <w:rFonts w:ascii="Times New Roman" w:eastAsia="Calibri" w:hAnsi="Times New Roman"/>
          <w:sz w:val="28"/>
          <w:szCs w:val="28"/>
          <w:lang w:eastAsia="en-US"/>
        </w:rPr>
        <w:t xml:space="preserve">Научные результаты по высокотехнологичным методам диагностики и лечения </w:t>
      </w:r>
      <w:r w:rsidRPr="00CF210F">
        <w:rPr>
          <w:rFonts w:ascii="Times New Roman" w:eastAsia="Calibri" w:hAnsi="Times New Roman"/>
          <w:sz w:val="28"/>
          <w:szCs w:val="28"/>
          <w:lang w:val="uz-Cyrl-UZ" w:eastAsia="en-US"/>
        </w:rPr>
        <w:t>множественной миеломы</w:t>
      </w:r>
      <w:r w:rsidRPr="00CF210F">
        <w:rPr>
          <w:rFonts w:ascii="Times New Roman" w:eastAsia="Calibri" w:hAnsi="Times New Roman"/>
          <w:sz w:val="28"/>
          <w:szCs w:val="28"/>
          <w:lang w:eastAsia="en-US"/>
        </w:rPr>
        <w:t xml:space="preserve">  внедрены в медицинскую практику, в том числе в клиническую практику Кашкадарьинского и Андижанского областных многопрофильных медицинских центров (заключение Министерства Здравоохранения Республики Узбекистан от 12 ноября 2019 года за №8н-з/189). Разработаны методические рекомендации по методам диагностики и лечения   способствует улучшению качества жизни и снижению потребности в медикаментах, с экономической выгодой государственных бюджетных средств на 28% от общего количества больных </w:t>
      </w:r>
      <w:r w:rsidRPr="00CF210F">
        <w:rPr>
          <w:rFonts w:ascii="Times New Roman" w:eastAsia="Calibri" w:hAnsi="Times New Roman"/>
          <w:sz w:val="28"/>
          <w:szCs w:val="28"/>
          <w:lang w:val="uz-Cyrl-UZ" w:eastAsia="en-US"/>
        </w:rPr>
        <w:t>множественной миеломы</w:t>
      </w:r>
      <w:r w:rsidRPr="00CF210F">
        <w:rPr>
          <w:rFonts w:ascii="Times New Roman" w:eastAsia="Calibri" w:hAnsi="Times New Roman"/>
          <w:sz w:val="28"/>
          <w:szCs w:val="28"/>
          <w:lang w:eastAsia="en-US"/>
        </w:rPr>
        <w:t xml:space="preserve"> за год. </w:t>
      </w:r>
    </w:p>
    <w:p w:rsidR="008135F4" w:rsidRPr="00CF210F" w:rsidRDefault="008135F4" w:rsidP="00CF210F">
      <w:pPr>
        <w:spacing w:after="0" w:line="360" w:lineRule="auto"/>
        <w:ind w:firstLine="709"/>
        <w:jc w:val="both"/>
        <w:rPr>
          <w:rFonts w:ascii="Times New Roman" w:eastAsia="Calibri" w:hAnsi="Times New Roman"/>
          <w:sz w:val="28"/>
          <w:szCs w:val="28"/>
          <w:lang w:eastAsia="en-US"/>
        </w:rPr>
      </w:pPr>
      <w:r w:rsidRPr="00CF210F">
        <w:rPr>
          <w:rFonts w:ascii="Times New Roman" w:eastAsia="Calibri" w:hAnsi="Times New Roman"/>
          <w:b/>
          <w:sz w:val="28"/>
          <w:szCs w:val="28"/>
          <w:lang w:eastAsia="en-US"/>
        </w:rPr>
        <w:t>Апробация результатов исследования.</w:t>
      </w:r>
      <w:r w:rsidRPr="00CF210F">
        <w:rPr>
          <w:rFonts w:ascii="Times New Roman" w:eastAsia="Calibri" w:hAnsi="Times New Roman"/>
          <w:sz w:val="28"/>
          <w:szCs w:val="28"/>
          <w:lang w:eastAsia="en-US"/>
        </w:rPr>
        <w:t xml:space="preserve"> Результаты данного исследования были обсуждены на 8 научных конференциях, в том числе 4 </w:t>
      </w:r>
      <w:r w:rsidRPr="00CF210F">
        <w:rPr>
          <w:rFonts w:ascii="Times New Roman" w:eastAsia="Calibri" w:hAnsi="Times New Roman"/>
          <w:sz w:val="28"/>
          <w:szCs w:val="28"/>
          <w:lang w:eastAsia="en-US"/>
        </w:rPr>
        <w:lastRenderedPageBreak/>
        <w:t xml:space="preserve">зарубежных и 4 республиканских научно-практических конференциях с международным участием. </w:t>
      </w:r>
    </w:p>
    <w:p w:rsidR="008135F4" w:rsidRPr="00CF210F" w:rsidRDefault="008135F4" w:rsidP="00CF210F">
      <w:pPr>
        <w:spacing w:after="0" w:line="360" w:lineRule="auto"/>
        <w:ind w:firstLine="709"/>
        <w:jc w:val="both"/>
        <w:rPr>
          <w:rFonts w:ascii="Times New Roman" w:eastAsia="Calibri" w:hAnsi="Times New Roman"/>
          <w:bCs/>
          <w:sz w:val="28"/>
          <w:szCs w:val="28"/>
          <w:lang w:eastAsia="en-US"/>
        </w:rPr>
      </w:pPr>
      <w:r w:rsidRPr="00CF210F">
        <w:rPr>
          <w:rFonts w:ascii="Times New Roman" w:eastAsia="Calibri" w:hAnsi="Times New Roman"/>
          <w:b/>
          <w:sz w:val="28"/>
          <w:szCs w:val="28"/>
          <w:lang w:eastAsia="en-US"/>
        </w:rPr>
        <w:t xml:space="preserve">Публикация результатов исследования. </w:t>
      </w:r>
      <w:bookmarkEnd w:id="3"/>
      <w:r w:rsidRPr="00CF210F">
        <w:rPr>
          <w:rFonts w:ascii="Times New Roman" w:eastAsia="Calibri" w:hAnsi="Times New Roman"/>
          <w:bCs/>
          <w:sz w:val="28"/>
          <w:szCs w:val="28"/>
          <w:lang w:eastAsia="en-US"/>
        </w:rPr>
        <w:t>По теме диссертации опубликовано 15 научные работы, из них 7 статей, в том числе 5 в республиканских и 2 в зарубежных журналах, рекомендованных Высшей аттестационной комиссией Республики Узбекистан для публикации основных научных результатов диссертации доктора философии (</w:t>
      </w:r>
      <w:r w:rsidRPr="00CF210F">
        <w:rPr>
          <w:rFonts w:ascii="Times New Roman" w:eastAsia="Calibri" w:hAnsi="Times New Roman"/>
          <w:bCs/>
          <w:sz w:val="28"/>
          <w:szCs w:val="28"/>
          <w:lang w:val="en-US" w:eastAsia="en-US"/>
        </w:rPr>
        <w:t>PhD</w:t>
      </w:r>
      <w:r w:rsidRPr="00CF210F">
        <w:rPr>
          <w:rFonts w:ascii="Times New Roman" w:eastAsia="Calibri" w:hAnsi="Times New Roman"/>
          <w:bCs/>
          <w:sz w:val="28"/>
          <w:szCs w:val="28"/>
          <w:lang w:eastAsia="en-US"/>
        </w:rPr>
        <w:t>).</w:t>
      </w:r>
    </w:p>
    <w:p w:rsidR="008135F4" w:rsidRDefault="008135F4" w:rsidP="00CF210F">
      <w:pPr>
        <w:spacing w:after="0" w:line="360" w:lineRule="auto"/>
        <w:ind w:firstLine="709"/>
        <w:jc w:val="both"/>
        <w:rPr>
          <w:rFonts w:ascii="Times New Roman" w:eastAsia="Calibri" w:hAnsi="Times New Roman"/>
          <w:bCs/>
          <w:sz w:val="28"/>
          <w:szCs w:val="28"/>
          <w:lang w:val="uz-Cyrl-UZ" w:eastAsia="en-US"/>
        </w:rPr>
      </w:pPr>
      <w:r w:rsidRPr="00CF210F">
        <w:rPr>
          <w:rFonts w:ascii="Times New Roman" w:eastAsia="Calibri" w:hAnsi="Times New Roman"/>
          <w:b/>
          <w:sz w:val="28"/>
          <w:szCs w:val="28"/>
          <w:lang w:eastAsia="en-US"/>
        </w:rPr>
        <w:t>Структура и объем диссертации.</w:t>
      </w:r>
      <w:r w:rsidRPr="00CF210F">
        <w:rPr>
          <w:rFonts w:ascii="Times New Roman" w:eastAsia="Calibri" w:hAnsi="Times New Roman"/>
          <w:bCs/>
          <w:sz w:val="28"/>
          <w:szCs w:val="28"/>
          <w:lang w:eastAsia="en-US"/>
        </w:rPr>
        <w:t xml:space="preserve"> Диссертация состоит из введения, </w:t>
      </w:r>
      <w:r w:rsidR="00203556">
        <w:rPr>
          <w:rFonts w:ascii="Times New Roman" w:eastAsia="Calibri" w:hAnsi="Times New Roman"/>
          <w:bCs/>
          <w:sz w:val="28"/>
          <w:szCs w:val="28"/>
          <w:lang w:eastAsia="en-US"/>
        </w:rPr>
        <w:t xml:space="preserve">4 </w:t>
      </w:r>
      <w:r w:rsidRPr="00CF210F">
        <w:rPr>
          <w:rFonts w:ascii="Times New Roman" w:eastAsia="Calibri" w:hAnsi="Times New Roman"/>
          <w:bCs/>
          <w:sz w:val="28"/>
          <w:szCs w:val="28"/>
          <w:lang w:eastAsia="en-US"/>
        </w:rPr>
        <w:t>глав, заключения и списка использованной литературы. Объём диссертации составляет 115 страниц.</w:t>
      </w: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CA4766" w:rsidRPr="00CA4766" w:rsidRDefault="00CA4766" w:rsidP="00CF210F">
      <w:pPr>
        <w:spacing w:after="0" w:line="360" w:lineRule="auto"/>
        <w:ind w:firstLine="709"/>
        <w:jc w:val="both"/>
        <w:rPr>
          <w:rFonts w:ascii="Times New Roman" w:eastAsia="Calibri" w:hAnsi="Times New Roman"/>
          <w:bCs/>
          <w:sz w:val="28"/>
          <w:szCs w:val="28"/>
          <w:lang w:val="uz-Cyrl-UZ" w:eastAsia="en-US"/>
        </w:rPr>
      </w:pPr>
    </w:p>
    <w:p w:rsidR="00D754DD" w:rsidRPr="00A11646" w:rsidRDefault="00D754DD" w:rsidP="00D754DD">
      <w:pPr>
        <w:autoSpaceDE w:val="0"/>
        <w:autoSpaceDN w:val="0"/>
        <w:adjustRightInd w:val="0"/>
        <w:spacing w:after="0" w:line="360" w:lineRule="auto"/>
        <w:jc w:val="center"/>
        <w:rPr>
          <w:rFonts w:ascii="Times New Roman" w:hAnsi="Times New Roman"/>
          <w:b/>
          <w:bCs/>
          <w:sz w:val="28"/>
          <w:szCs w:val="28"/>
        </w:rPr>
      </w:pPr>
      <w:bookmarkStart w:id="8" w:name="_Hlk8154879"/>
      <w:r w:rsidRPr="00A11646">
        <w:rPr>
          <w:rFonts w:ascii="Times New Roman" w:hAnsi="Times New Roman"/>
          <w:b/>
          <w:bCs/>
          <w:sz w:val="28"/>
          <w:szCs w:val="28"/>
        </w:rPr>
        <w:lastRenderedPageBreak/>
        <w:t>ГЛАВА 1. ОБЗОР ЛИТЕРАТУРЫ</w:t>
      </w:r>
    </w:p>
    <w:p w:rsidR="00D754DD" w:rsidRPr="00A11646" w:rsidRDefault="00D754DD" w:rsidP="00D754DD">
      <w:pPr>
        <w:autoSpaceDE w:val="0"/>
        <w:autoSpaceDN w:val="0"/>
        <w:adjustRightInd w:val="0"/>
        <w:spacing w:after="0" w:line="360" w:lineRule="auto"/>
        <w:jc w:val="center"/>
        <w:rPr>
          <w:rFonts w:ascii="Times New Roman" w:hAnsi="Times New Roman"/>
          <w:b/>
          <w:bCs/>
          <w:sz w:val="28"/>
          <w:szCs w:val="28"/>
        </w:rPr>
      </w:pPr>
      <w:bookmarkStart w:id="9" w:name="_Hlk8147663"/>
      <w:r w:rsidRPr="00A11646">
        <w:rPr>
          <w:rFonts w:ascii="Times New Roman" w:hAnsi="Times New Roman"/>
          <w:b/>
          <w:bCs/>
          <w:sz w:val="28"/>
          <w:szCs w:val="28"/>
        </w:rPr>
        <w:t>СОВРЕМЕННЫЕ ПРЕДСТАВЛЕНИЯ О МЕХАНИЗМАХ РАЗВИТИЯ И СОСТОЯНИ</w:t>
      </w:r>
      <w:r w:rsidR="006909DA">
        <w:rPr>
          <w:rFonts w:ascii="Times New Roman" w:hAnsi="Times New Roman"/>
          <w:b/>
          <w:bCs/>
          <w:sz w:val="28"/>
          <w:szCs w:val="28"/>
          <w:lang w:val="uz-Cyrl-UZ"/>
        </w:rPr>
        <w:t>Я</w:t>
      </w:r>
      <w:r w:rsidRPr="00A11646">
        <w:rPr>
          <w:rFonts w:ascii="Times New Roman" w:hAnsi="Times New Roman"/>
          <w:b/>
          <w:bCs/>
          <w:sz w:val="28"/>
          <w:szCs w:val="28"/>
        </w:rPr>
        <w:t xml:space="preserve"> ПРОБЛЕМЫ ДИАГНОСТИКИ И ЛЕЧЕНИЯ МНОЖЕСТВЕННОЙ МИЕЛОМЫ</w:t>
      </w:r>
    </w:p>
    <w:p w:rsidR="00D754DD" w:rsidRPr="00A11646" w:rsidRDefault="00D754DD" w:rsidP="00D754DD">
      <w:pPr>
        <w:pStyle w:val="a5"/>
        <w:autoSpaceDE w:val="0"/>
        <w:autoSpaceDN w:val="0"/>
        <w:adjustRightInd w:val="0"/>
        <w:spacing w:after="0" w:line="360" w:lineRule="auto"/>
        <w:ind w:left="0"/>
        <w:jc w:val="center"/>
        <w:rPr>
          <w:rFonts w:ascii="Times New Roman" w:hAnsi="Times New Roman" w:cs="Times New Roman"/>
          <w:b/>
          <w:sz w:val="28"/>
          <w:szCs w:val="28"/>
        </w:rPr>
      </w:pPr>
      <w:bookmarkStart w:id="10" w:name="_Hlk8147705"/>
      <w:bookmarkEnd w:id="9"/>
      <w:r w:rsidRPr="00A11646">
        <w:rPr>
          <w:rFonts w:ascii="Times New Roman" w:hAnsi="Times New Roman" w:cs="Times New Roman"/>
          <w:b/>
          <w:sz w:val="28"/>
          <w:szCs w:val="28"/>
        </w:rPr>
        <w:t xml:space="preserve">§ 1.1. Множественная миелома – общее представление,      </w:t>
      </w:r>
    </w:p>
    <w:p w:rsidR="00D754DD" w:rsidRDefault="00D754DD" w:rsidP="00D754DD">
      <w:pPr>
        <w:pStyle w:val="a5"/>
        <w:autoSpaceDE w:val="0"/>
        <w:autoSpaceDN w:val="0"/>
        <w:adjustRightInd w:val="0"/>
        <w:spacing w:after="0" w:line="360" w:lineRule="auto"/>
        <w:ind w:left="0" w:firstLine="709"/>
        <w:rPr>
          <w:rFonts w:ascii="Times New Roman" w:hAnsi="Times New Roman" w:cs="Times New Roman"/>
          <w:b/>
          <w:sz w:val="28"/>
          <w:szCs w:val="28"/>
        </w:rPr>
      </w:pPr>
      <w:r w:rsidRPr="00A11646">
        <w:rPr>
          <w:rFonts w:ascii="Times New Roman" w:hAnsi="Times New Roman" w:cs="Times New Roman"/>
          <w:b/>
          <w:sz w:val="28"/>
          <w:szCs w:val="28"/>
        </w:rPr>
        <w:t xml:space="preserve">                        распространенность и классификация</w:t>
      </w:r>
      <w:bookmarkEnd w:id="10"/>
    </w:p>
    <w:p w:rsidR="007C23AD" w:rsidRPr="00A11646" w:rsidRDefault="007C23AD" w:rsidP="00D754DD">
      <w:pPr>
        <w:pStyle w:val="a5"/>
        <w:autoSpaceDE w:val="0"/>
        <w:autoSpaceDN w:val="0"/>
        <w:adjustRightInd w:val="0"/>
        <w:spacing w:after="0" w:line="360" w:lineRule="auto"/>
        <w:ind w:left="0" w:firstLine="709"/>
        <w:rPr>
          <w:rFonts w:ascii="Times New Roman" w:hAnsi="Times New Roman" w:cs="Times New Roman"/>
          <w:b/>
          <w:sz w:val="28"/>
          <w:szCs w:val="28"/>
        </w:rPr>
      </w:pP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Множественная миелома (ММ) - (миеломная болезнь, болезнь Рустицкого-Калера) представляет собой В</w:t>
      </w:r>
      <w:r w:rsidR="006909DA">
        <w:rPr>
          <w:rFonts w:ascii="Times New Roman" w:hAnsi="Times New Roman"/>
          <w:sz w:val="28"/>
          <w:szCs w:val="28"/>
          <w:lang w:val="uz-Cyrl-UZ"/>
        </w:rPr>
        <w:t xml:space="preserve"> </w:t>
      </w:r>
      <w:r w:rsidRPr="00A11646">
        <w:rPr>
          <w:rFonts w:ascii="Times New Roman" w:hAnsi="Times New Roman"/>
          <w:sz w:val="28"/>
          <w:szCs w:val="28"/>
        </w:rPr>
        <w:t>-</w:t>
      </w:r>
      <w:r w:rsidR="006909DA">
        <w:rPr>
          <w:rFonts w:ascii="Times New Roman" w:hAnsi="Times New Roman"/>
          <w:sz w:val="28"/>
          <w:szCs w:val="28"/>
          <w:lang w:val="uz-Cyrl-UZ"/>
        </w:rPr>
        <w:t xml:space="preserve"> </w:t>
      </w:r>
      <w:r w:rsidRPr="00A11646">
        <w:rPr>
          <w:rFonts w:ascii="Times New Roman" w:hAnsi="Times New Roman"/>
          <w:sz w:val="28"/>
          <w:szCs w:val="28"/>
        </w:rPr>
        <w:t>клеточное с низкой степенью злокачественности лимфопролиферативное заболевание системы крови (ВОЗ, 2008), характеризующееся инфильтрацией костного мозга трансформированными плазматическими клетками,</w:t>
      </w:r>
      <w:r w:rsidR="00F13268" w:rsidRPr="008F0F16">
        <w:rPr>
          <w:rFonts w:ascii="Times New Roman" w:hAnsi="Times New Roman"/>
          <w:sz w:val="28"/>
          <w:szCs w:val="28"/>
        </w:rPr>
        <w:t xml:space="preserve"> </w:t>
      </w:r>
      <w:r w:rsidRPr="00A11646">
        <w:rPr>
          <w:rFonts w:ascii="Times New Roman" w:hAnsi="Times New Roman"/>
          <w:sz w:val="28"/>
          <w:szCs w:val="28"/>
        </w:rPr>
        <w:t>продуцирующие моноклональные иммуноглобулины [</w:t>
      </w:r>
      <w:r w:rsidRPr="00A11646">
        <w:rPr>
          <w:rFonts w:ascii="Times New Roman" w:hAnsi="Times New Roman"/>
          <w:sz w:val="28"/>
          <w:szCs w:val="28"/>
          <w:lang w:val="uz-Cyrl-UZ"/>
        </w:rPr>
        <w:t>4, с. 404-423</w:t>
      </w:r>
      <w:r w:rsidRPr="00A11646">
        <w:rPr>
          <w:rFonts w:ascii="Times New Roman" w:hAnsi="Times New Roman"/>
          <w:sz w:val="28"/>
          <w:szCs w:val="28"/>
        </w:rPr>
        <w:t xml:space="preserve">].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Изучение ММ охватывает период более 150 лет. Впервые заболевание описано в 1845 году английским врачом  W. Macintyre  у пациента с  почечным поражением, котор</w:t>
      </w:r>
      <w:r w:rsidR="008F0F16">
        <w:rPr>
          <w:rFonts w:ascii="Times New Roman" w:hAnsi="Times New Roman"/>
          <w:sz w:val="28"/>
          <w:szCs w:val="28"/>
          <w:lang w:val="uz-Cyrl-UZ"/>
        </w:rPr>
        <w:t>о</w:t>
      </w:r>
      <w:r w:rsidRPr="00A11646">
        <w:rPr>
          <w:rFonts w:ascii="Times New Roman" w:hAnsi="Times New Roman"/>
          <w:sz w:val="28"/>
          <w:szCs w:val="28"/>
        </w:rPr>
        <w:t>е более подробно изучен</w:t>
      </w:r>
      <w:r w:rsidR="006909DA">
        <w:rPr>
          <w:rFonts w:ascii="Times New Roman" w:hAnsi="Times New Roman"/>
          <w:sz w:val="28"/>
          <w:szCs w:val="28"/>
          <w:lang w:val="uz-Cyrl-UZ"/>
        </w:rPr>
        <w:t>ы</w:t>
      </w:r>
      <w:r w:rsidRPr="00A11646">
        <w:rPr>
          <w:rFonts w:ascii="Times New Roman" w:hAnsi="Times New Roman"/>
          <w:sz w:val="28"/>
          <w:szCs w:val="28"/>
        </w:rPr>
        <w:t xml:space="preserve"> доктором H. Bence - Jones [</w:t>
      </w:r>
      <w:r w:rsidRPr="00A11646">
        <w:rPr>
          <w:rFonts w:ascii="Times New Roman" w:hAnsi="Times New Roman"/>
          <w:sz w:val="28"/>
          <w:szCs w:val="28"/>
          <w:lang w:val="uz-Cyrl-UZ"/>
        </w:rPr>
        <w:t>7, с. 140</w:t>
      </w:r>
      <w:r w:rsidRPr="00A11646">
        <w:rPr>
          <w:rFonts w:ascii="Times New Roman" w:hAnsi="Times New Roman"/>
          <w:sz w:val="28"/>
          <w:szCs w:val="28"/>
        </w:rPr>
        <w:t>]. В 1846 г. хирург J.  Dalrymple выявил, что при ММ поражаются кости, в которых выявлялись клетки множественной миеломы (плазматические). Далее заболевание стало более пристально изучаться, и J. Rustizky (1873) с целью указать на присутствие в костях множественных повреждений, вызванных плазматическими клетками, ввел термин «множественная миелома». В 1889 г. O</w:t>
      </w:r>
      <w:r w:rsidRPr="00A11646">
        <w:rPr>
          <w:rFonts w:ascii="Times New Roman" w:hAnsi="Times New Roman"/>
          <w:sz w:val="28"/>
          <w:szCs w:val="28"/>
          <w:lang w:val="uz-Cyrl-UZ"/>
        </w:rPr>
        <w:t>.</w:t>
      </w:r>
      <w:r w:rsidRPr="00A11646">
        <w:rPr>
          <w:rFonts w:ascii="Times New Roman" w:hAnsi="Times New Roman"/>
          <w:sz w:val="28"/>
          <w:szCs w:val="28"/>
        </w:rPr>
        <w:t>Kahler впервые опубликовал подробное клиническое описание ММ, в связи, с чем заболевание получило название «болезни Рустицкого-Калера» [12, с. 7-11.; 20, с. 120].</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На сегодня известно, что</w:t>
      </w:r>
      <w:r w:rsidRPr="00A11646">
        <w:rPr>
          <w:rFonts w:ascii="Times New Roman" w:hAnsi="Times New Roman"/>
          <w:sz w:val="28"/>
          <w:szCs w:val="28"/>
          <w:lang w:val="uz-Cyrl-UZ"/>
        </w:rPr>
        <w:t xml:space="preserve"> ММ составляет </w:t>
      </w:r>
      <w:r w:rsidRPr="00A11646">
        <w:rPr>
          <w:rFonts w:ascii="Times New Roman" w:hAnsi="Times New Roman"/>
          <w:sz w:val="28"/>
          <w:szCs w:val="28"/>
        </w:rPr>
        <w:t xml:space="preserve">около 1% всей онкологической и </w:t>
      </w:r>
      <w:r w:rsidRPr="00A11646">
        <w:rPr>
          <w:rFonts w:ascii="Times New Roman" w:hAnsi="Times New Roman"/>
          <w:sz w:val="28"/>
          <w:szCs w:val="28"/>
          <w:lang w:val="uz-Cyrl-UZ"/>
        </w:rPr>
        <w:t xml:space="preserve">от </w:t>
      </w:r>
      <w:r w:rsidRPr="00A11646">
        <w:rPr>
          <w:rFonts w:ascii="Times New Roman" w:hAnsi="Times New Roman"/>
          <w:sz w:val="28"/>
          <w:szCs w:val="28"/>
        </w:rPr>
        <w:t>10</w:t>
      </w:r>
      <w:r w:rsidRPr="00A11646">
        <w:rPr>
          <w:rFonts w:ascii="Times New Roman" w:hAnsi="Times New Roman"/>
          <w:sz w:val="28"/>
          <w:szCs w:val="28"/>
          <w:lang w:val="uz-Cyrl-UZ"/>
        </w:rPr>
        <w:t xml:space="preserve"> до </w:t>
      </w:r>
      <w:r w:rsidRPr="00A11646">
        <w:rPr>
          <w:rFonts w:ascii="Times New Roman" w:hAnsi="Times New Roman"/>
          <w:sz w:val="28"/>
          <w:szCs w:val="28"/>
        </w:rPr>
        <w:t>15% опухолевой патологии кроветворной системы [20, с.120].</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По данным ряда эпидемиологических исследований, </w:t>
      </w:r>
      <w:r w:rsidRPr="00A11646">
        <w:rPr>
          <w:rFonts w:ascii="Times New Roman" w:hAnsi="Times New Roman"/>
          <w:sz w:val="28"/>
          <w:szCs w:val="28"/>
          <w:lang w:val="uz-Cyrl-UZ"/>
        </w:rPr>
        <w:t>в среднем регистрируется</w:t>
      </w:r>
      <w:r w:rsidRPr="00A11646">
        <w:rPr>
          <w:rFonts w:ascii="Times New Roman" w:hAnsi="Times New Roman"/>
          <w:sz w:val="28"/>
          <w:szCs w:val="28"/>
        </w:rPr>
        <w:t xml:space="preserve"> 3-4</w:t>
      </w:r>
      <w:r w:rsidRPr="00A11646">
        <w:rPr>
          <w:rFonts w:ascii="Times New Roman" w:hAnsi="Times New Roman"/>
          <w:sz w:val="28"/>
          <w:szCs w:val="28"/>
          <w:lang w:val="uz-Cyrl-UZ"/>
        </w:rPr>
        <w:t xml:space="preserve"> новых случая</w:t>
      </w:r>
      <w:r w:rsidRPr="00A11646">
        <w:rPr>
          <w:rFonts w:ascii="Times New Roman" w:hAnsi="Times New Roman"/>
          <w:sz w:val="28"/>
          <w:szCs w:val="28"/>
        </w:rPr>
        <w:t xml:space="preserve"> заболевания на 100 000 населения в год </w:t>
      </w:r>
      <w:r w:rsidRPr="00A11646">
        <w:rPr>
          <w:rFonts w:ascii="Times New Roman" w:hAnsi="Times New Roman"/>
          <w:sz w:val="28"/>
          <w:szCs w:val="28"/>
        </w:rPr>
        <w:lastRenderedPageBreak/>
        <w:t>[31, с. 25-35; 46, с. С. 871-879; 108, с. 410-412]. При этом приводятся сведения, о том, что имеются некоторые различия в распространенности патологии среди людей в зависимости от их расовой принадлежности [74, с. 682-689; 75, с. 676-681]. Так по данным N. Becker  (2011) наиболее часто заболевание встречается у лиц негроидной расы (до 10/100000), тогда как среди монголоидной расы риск ее возникновения значительно ниже, и составляет примерно 1,5 на 100 000 населения в год [31, с. 25-35]. В странах Европы и России частота ММ колеблется от 3 до 5 на 100000 населения в год [10, с. 1-170; 42, с. 471-472].</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Cid Ruzafa J., Merinopoulou E., Baggaley R.F. et al. (2016) отмечают, что  ежегодно в США  в среднем регистрируется  4—5 новых случаев заболевания на 100 000 населения [46, с.871-879</w:t>
      </w:r>
      <w:r w:rsidRPr="00A11646">
        <w:rPr>
          <w:rFonts w:ascii="Times New Roman" w:hAnsi="Times New Roman"/>
          <w:sz w:val="28"/>
          <w:szCs w:val="28"/>
        </w:rPr>
        <w:t>]. Т</w:t>
      </w:r>
      <w:r w:rsidRPr="00A11646">
        <w:rPr>
          <w:rFonts w:ascii="Times New Roman" w:hAnsi="Times New Roman"/>
          <w:sz w:val="28"/>
          <w:szCs w:val="28"/>
          <w:lang w:val="uz-Cyrl-UZ"/>
        </w:rPr>
        <w:t xml:space="preserve">огда как среди американцев негроидной рассы по данным </w:t>
      </w:r>
      <w:r w:rsidRPr="00A11646">
        <w:rPr>
          <w:rFonts w:ascii="Times New Roman" w:hAnsi="Times New Roman"/>
          <w:sz w:val="28"/>
          <w:szCs w:val="28"/>
          <w:lang w:val="en-US"/>
        </w:rPr>
        <w:t>RosenbergP</w:t>
      </w:r>
      <w:r w:rsidRPr="00A11646">
        <w:rPr>
          <w:rFonts w:ascii="Times New Roman" w:hAnsi="Times New Roman"/>
          <w:sz w:val="28"/>
          <w:szCs w:val="28"/>
        </w:rPr>
        <w:t>.</w:t>
      </w:r>
      <w:r w:rsidRPr="00A11646">
        <w:rPr>
          <w:rFonts w:ascii="Times New Roman" w:hAnsi="Times New Roman"/>
          <w:sz w:val="28"/>
          <w:szCs w:val="28"/>
          <w:lang w:val="en-US"/>
        </w:rPr>
        <w:t>S</w:t>
      </w:r>
      <w:r w:rsidRPr="00A11646">
        <w:rPr>
          <w:rFonts w:ascii="Times New Roman" w:hAnsi="Times New Roman"/>
          <w:sz w:val="28"/>
          <w:szCs w:val="28"/>
        </w:rPr>
        <w:t xml:space="preserve">., </w:t>
      </w:r>
      <w:r w:rsidRPr="00A11646">
        <w:rPr>
          <w:rFonts w:ascii="Times New Roman" w:hAnsi="Times New Roman"/>
          <w:sz w:val="28"/>
          <w:szCs w:val="28"/>
          <w:lang w:val="en-US"/>
        </w:rPr>
        <w:t>BarkerK</w:t>
      </w:r>
      <w:r w:rsidRPr="00A11646">
        <w:rPr>
          <w:rFonts w:ascii="Times New Roman" w:hAnsi="Times New Roman"/>
          <w:sz w:val="28"/>
          <w:szCs w:val="28"/>
        </w:rPr>
        <w:t>.</w:t>
      </w:r>
      <w:r w:rsidRPr="00A11646">
        <w:rPr>
          <w:rFonts w:ascii="Times New Roman" w:hAnsi="Times New Roman"/>
          <w:sz w:val="28"/>
          <w:szCs w:val="28"/>
          <w:lang w:val="en-US"/>
        </w:rPr>
        <w:t>A</w:t>
      </w:r>
      <w:r w:rsidRPr="00A11646">
        <w:rPr>
          <w:rFonts w:ascii="Times New Roman" w:hAnsi="Times New Roman"/>
          <w:sz w:val="28"/>
          <w:szCs w:val="28"/>
        </w:rPr>
        <w:t xml:space="preserve">., </w:t>
      </w:r>
      <w:r w:rsidRPr="00A11646">
        <w:rPr>
          <w:rFonts w:ascii="Times New Roman" w:hAnsi="Times New Roman"/>
          <w:sz w:val="28"/>
          <w:szCs w:val="28"/>
          <w:lang w:val="en-US"/>
        </w:rPr>
        <w:t>AndersonWF</w:t>
      </w:r>
      <w:r w:rsidRPr="00A11646">
        <w:rPr>
          <w:rFonts w:ascii="Times New Roman" w:hAnsi="Times New Roman"/>
          <w:sz w:val="28"/>
          <w:szCs w:val="28"/>
        </w:rPr>
        <w:t xml:space="preserve">. (2015) </w:t>
      </w:r>
      <w:r w:rsidRPr="00A11646">
        <w:rPr>
          <w:rFonts w:ascii="Times New Roman" w:hAnsi="Times New Roman"/>
          <w:sz w:val="28"/>
          <w:szCs w:val="28"/>
          <w:lang w:val="uz-Cyrl-UZ"/>
        </w:rPr>
        <w:t xml:space="preserve">этот показатель доходит до 9—10 случаев </w:t>
      </w:r>
      <w:bookmarkStart w:id="11" w:name="_Hlk7972331"/>
      <w:r w:rsidRPr="00A11646">
        <w:rPr>
          <w:rFonts w:ascii="Times New Roman" w:hAnsi="Times New Roman"/>
          <w:sz w:val="28"/>
          <w:szCs w:val="28"/>
        </w:rPr>
        <w:t>[</w:t>
      </w:r>
      <w:bookmarkStart w:id="12" w:name="_Hlk7972996"/>
      <w:r w:rsidRPr="00A11646">
        <w:rPr>
          <w:rFonts w:ascii="Times New Roman" w:hAnsi="Times New Roman"/>
          <w:sz w:val="28"/>
          <w:szCs w:val="28"/>
        </w:rPr>
        <w:t>108, с. 410-412</w:t>
      </w:r>
      <w:bookmarkEnd w:id="11"/>
      <w:bookmarkEnd w:id="12"/>
      <w:r w:rsidRPr="00A11646">
        <w:rPr>
          <w:rFonts w:ascii="Times New Roman" w:hAnsi="Times New Roman"/>
          <w:sz w:val="28"/>
          <w:szCs w:val="28"/>
        </w:rPr>
        <w:t xml:space="preserve">].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en-US"/>
        </w:rPr>
        <w:t>Yamabe</w:t>
      </w:r>
      <w:r w:rsidR="008F0F16">
        <w:rPr>
          <w:rFonts w:ascii="Times New Roman" w:hAnsi="Times New Roman"/>
          <w:sz w:val="28"/>
          <w:szCs w:val="28"/>
          <w:lang w:val="uz-Cyrl-UZ"/>
        </w:rPr>
        <w:t xml:space="preserve"> </w:t>
      </w:r>
      <w:r w:rsidRPr="00A11646">
        <w:rPr>
          <w:rFonts w:ascii="Times New Roman" w:hAnsi="Times New Roman"/>
          <w:sz w:val="28"/>
          <w:szCs w:val="28"/>
          <w:lang w:val="en-US"/>
        </w:rPr>
        <w:t>K</w:t>
      </w:r>
      <w:r w:rsidRPr="00C0625C">
        <w:rPr>
          <w:rFonts w:ascii="Times New Roman" w:hAnsi="Times New Roman"/>
          <w:sz w:val="28"/>
          <w:szCs w:val="28"/>
        </w:rPr>
        <w:t xml:space="preserve">., </w:t>
      </w:r>
      <w:r w:rsidRPr="00A11646">
        <w:rPr>
          <w:rFonts w:ascii="Times New Roman" w:hAnsi="Times New Roman"/>
          <w:sz w:val="28"/>
          <w:szCs w:val="28"/>
          <w:lang w:val="en-US"/>
        </w:rPr>
        <w:t>Inoue</w:t>
      </w:r>
      <w:r w:rsidR="008F0F16">
        <w:rPr>
          <w:rFonts w:ascii="Times New Roman" w:hAnsi="Times New Roman"/>
          <w:sz w:val="28"/>
          <w:szCs w:val="28"/>
          <w:lang w:val="uz-Cyrl-UZ"/>
        </w:rPr>
        <w:t xml:space="preserve"> </w:t>
      </w:r>
      <w:r w:rsidRPr="00A11646">
        <w:rPr>
          <w:rFonts w:ascii="Times New Roman" w:hAnsi="Times New Roman"/>
          <w:sz w:val="28"/>
          <w:szCs w:val="28"/>
          <w:lang w:val="en-US"/>
        </w:rPr>
        <w:t>S</w:t>
      </w:r>
      <w:r w:rsidRPr="00C0625C">
        <w:rPr>
          <w:rFonts w:ascii="Times New Roman" w:hAnsi="Times New Roman"/>
          <w:sz w:val="28"/>
          <w:szCs w:val="28"/>
        </w:rPr>
        <w:t xml:space="preserve">., </w:t>
      </w:r>
      <w:r w:rsidRPr="00A11646">
        <w:rPr>
          <w:rFonts w:ascii="Times New Roman" w:hAnsi="Times New Roman"/>
          <w:sz w:val="28"/>
          <w:szCs w:val="28"/>
          <w:lang w:val="en-US"/>
        </w:rPr>
        <w:t>Hiroshima</w:t>
      </w:r>
      <w:r w:rsidR="008F0F16">
        <w:rPr>
          <w:rFonts w:ascii="Times New Roman" w:hAnsi="Times New Roman"/>
          <w:sz w:val="28"/>
          <w:szCs w:val="28"/>
          <w:lang w:val="uz-Cyrl-UZ"/>
        </w:rPr>
        <w:t xml:space="preserve"> </w:t>
      </w:r>
      <w:r w:rsidRPr="00A11646">
        <w:rPr>
          <w:rFonts w:ascii="Times New Roman" w:hAnsi="Times New Roman"/>
          <w:sz w:val="28"/>
          <w:szCs w:val="28"/>
          <w:lang w:val="en-US"/>
        </w:rPr>
        <w:t>C</w:t>
      </w:r>
      <w:r w:rsidRPr="00C0625C">
        <w:rPr>
          <w:rFonts w:ascii="Times New Roman" w:hAnsi="Times New Roman"/>
          <w:sz w:val="28"/>
          <w:szCs w:val="28"/>
        </w:rPr>
        <w:t xml:space="preserve">. </w:t>
      </w:r>
      <w:r w:rsidRPr="00A11646">
        <w:rPr>
          <w:rFonts w:ascii="Times New Roman" w:hAnsi="Times New Roman"/>
          <w:sz w:val="28"/>
          <w:szCs w:val="28"/>
        </w:rPr>
        <w:t>(2015) изучая эпидемиологическую ситуацию в Японии выявили, что заболеваемость в данном регионе намного ниже и составляет до 1,2 случая на 100 000 населения в год [</w:t>
      </w:r>
      <w:bookmarkStart w:id="13" w:name="_Hlk7973084"/>
      <w:r w:rsidRPr="00A11646">
        <w:rPr>
          <w:rFonts w:ascii="Times New Roman" w:hAnsi="Times New Roman"/>
          <w:sz w:val="28"/>
          <w:szCs w:val="28"/>
        </w:rPr>
        <w:t>117, с. 449</w:t>
      </w:r>
      <w:bookmarkEnd w:id="13"/>
      <w:r w:rsidRPr="00A11646">
        <w:rPr>
          <w:rFonts w:ascii="Times New Roman" w:hAnsi="Times New Roman"/>
          <w:sz w:val="28"/>
          <w:szCs w:val="28"/>
        </w:rPr>
        <w:t>]. Наряду с этим низкая регистрация этого показателя наблюдается в Китае (1,3/100 000 населения в год) [42, с. 471—472.], в Южной Кореи (до 1,4/100 000 населения в год) [66, с. 820—834.] и Тайвань (1,8 случая на 100 000 населения в год) [41].</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В зависимости от гендерной принадлежности по данным зарубежных эпидемиологических исследований, вероятность развития ММ в течение жизни среди мужчин европеоидной расы составляет 0,005; а среди женщин - 0,003.  Тогда как по данным российских ученых (2017) в настоящее время заболевание среди мужчин и женщин наблюдается примерно с одинаковой частотой [14, с. 50-56].</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Необходимо отметить, что наряду с региональными особенностями заболеваемости ММ, риск ее формирования во многом определяется и </w:t>
      </w:r>
      <w:r w:rsidRPr="00A11646">
        <w:rPr>
          <w:rFonts w:ascii="Times New Roman" w:hAnsi="Times New Roman"/>
          <w:sz w:val="28"/>
          <w:szCs w:val="28"/>
        </w:rPr>
        <w:lastRenderedPageBreak/>
        <w:t>возрастной категорией людей [14, с.50-56]. Так</w:t>
      </w:r>
      <w:r w:rsidR="00C0625C">
        <w:rPr>
          <w:rFonts w:ascii="Times New Roman" w:hAnsi="Times New Roman"/>
          <w:sz w:val="28"/>
          <w:szCs w:val="28"/>
          <w:lang w:val="uz-Cyrl-UZ"/>
        </w:rPr>
        <w:t xml:space="preserve"> </w:t>
      </w:r>
      <w:r w:rsidRPr="00A11646">
        <w:rPr>
          <w:rFonts w:ascii="Times New Roman" w:hAnsi="Times New Roman"/>
          <w:sz w:val="28"/>
          <w:szCs w:val="28"/>
        </w:rPr>
        <w:t>поданным</w:t>
      </w:r>
      <w:r w:rsidRPr="00A11646">
        <w:rPr>
          <w:rFonts w:ascii="Times New Roman" w:hAnsi="Times New Roman"/>
          <w:sz w:val="28"/>
          <w:szCs w:val="28"/>
          <w:lang w:val="en-US"/>
        </w:rPr>
        <w:t xml:space="preserve"> Crusoe Ede Q., da Silva A.M., Agareno J. et al. </w:t>
      </w:r>
      <w:r w:rsidRPr="00A11646">
        <w:rPr>
          <w:rFonts w:ascii="Times New Roman" w:hAnsi="Times New Roman"/>
          <w:sz w:val="28"/>
          <w:szCs w:val="28"/>
        </w:rPr>
        <w:t>(2015) заболевание чаще регистрируется у лиц старше 40 лет</w:t>
      </w:r>
      <w:r w:rsidRPr="00A11646">
        <w:rPr>
          <w:rFonts w:ascii="Times New Roman" w:hAnsi="Times New Roman"/>
          <w:sz w:val="28"/>
          <w:szCs w:val="28"/>
          <w:lang w:val="uz-Cyrl-UZ"/>
        </w:rPr>
        <w:t xml:space="preserve">, </w:t>
      </w:r>
      <w:r w:rsidRPr="00A11646">
        <w:rPr>
          <w:rFonts w:ascii="Times New Roman" w:hAnsi="Times New Roman"/>
          <w:sz w:val="28"/>
          <w:szCs w:val="28"/>
        </w:rPr>
        <w:t xml:space="preserve">среди лиц от 30 до 40 лет процент больных ММ составляет до  2%, а до 30 лет, он колеблется в пределах   0,18 - 1%[48, с.31—33.].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За последнее десятилетие во всем мире отмечается рост частоты встречаемости ММ с ежегодной регистрацией около 114 000 новых случаев заболевания [13, с. 764; 63, с. 53-42;114, с. 34-39; 112, с. 7-12].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Эпидемиологическая ситуация заболеваемости ММ в нашей Республике практически не изучена.</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Таким образом, частота заболеваемости MM имеет значительные различия в зависимости от региона, расовой и гендерной принадлежности. Несмотря на различие эпидемиологии ММ в различных странах, в связи с неизлечимостью и малым процентом общей выживаемости больных, заболевание является во всем мире остается важной проблемой современной онкогематологии.</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Полиморфная клиническая и лабораторная картина ММ способствовала разработке ряда классификаций заболевания, основанных на оценке степени активности опухолевого процесса</w:t>
      </w:r>
      <w:r w:rsidR="00C0625C">
        <w:rPr>
          <w:rFonts w:ascii="Times New Roman" w:hAnsi="Times New Roman"/>
          <w:sz w:val="28"/>
          <w:szCs w:val="28"/>
          <w:lang w:val="uz-Cyrl-UZ"/>
        </w:rPr>
        <w:t>,</w:t>
      </w:r>
      <w:r w:rsidRPr="00A11646">
        <w:rPr>
          <w:rFonts w:ascii="Times New Roman" w:hAnsi="Times New Roman"/>
          <w:sz w:val="28"/>
          <w:szCs w:val="28"/>
        </w:rPr>
        <w:t xml:space="preserve"> продукции патологического белка (иммунохимические варианты), распространенности опухолевого процесса</w:t>
      </w:r>
      <w:r w:rsidR="00C0625C">
        <w:rPr>
          <w:rFonts w:ascii="Times New Roman" w:hAnsi="Times New Roman"/>
          <w:sz w:val="28"/>
          <w:szCs w:val="28"/>
          <w:lang w:val="uz-Cyrl-UZ"/>
        </w:rPr>
        <w:t xml:space="preserve"> </w:t>
      </w:r>
      <w:r w:rsidRPr="00A11646">
        <w:rPr>
          <w:rFonts w:ascii="Times New Roman" w:hAnsi="Times New Roman"/>
          <w:sz w:val="28"/>
          <w:szCs w:val="28"/>
        </w:rPr>
        <w:t>и степени поражения органов-мишеней (стадии множественной миеломы)</w:t>
      </w:r>
      <w:r w:rsidRPr="00A11646">
        <w:rPr>
          <w:rFonts w:ascii="Times New Roman" w:hAnsi="Times New Roman"/>
          <w:sz w:val="28"/>
          <w:szCs w:val="28"/>
          <w:lang w:val="uz-Cyrl-UZ"/>
        </w:rPr>
        <w:t>,</w:t>
      </w:r>
      <w:r w:rsidR="00CB64FE">
        <w:rPr>
          <w:rFonts w:ascii="Times New Roman" w:hAnsi="Times New Roman"/>
          <w:sz w:val="28"/>
          <w:szCs w:val="28"/>
          <w:lang w:val="uz-Cyrl-UZ"/>
        </w:rPr>
        <w:t xml:space="preserve"> </w:t>
      </w:r>
      <w:r w:rsidR="00C0625C" w:rsidRPr="00A11646">
        <w:rPr>
          <w:rFonts w:ascii="Times New Roman" w:hAnsi="Times New Roman"/>
          <w:sz w:val="28"/>
          <w:szCs w:val="28"/>
          <w:lang w:val="uz-Cyrl-UZ"/>
        </w:rPr>
        <w:t>по данным рентгенологического исследования (</w:t>
      </w:r>
      <w:r w:rsidR="00C0625C" w:rsidRPr="00A11646">
        <w:rPr>
          <w:rFonts w:ascii="Times New Roman" w:hAnsi="Times New Roman"/>
          <w:sz w:val="28"/>
          <w:szCs w:val="28"/>
        </w:rPr>
        <w:t>диффузная, диффузно-очаговая и очаговая форма</w:t>
      </w:r>
      <w:r w:rsidR="00C0625C" w:rsidRPr="00A11646">
        <w:rPr>
          <w:rFonts w:ascii="Times New Roman" w:hAnsi="Times New Roman"/>
          <w:sz w:val="28"/>
          <w:szCs w:val="28"/>
          <w:lang w:val="uz-Cyrl-UZ"/>
        </w:rPr>
        <w:t>)</w:t>
      </w:r>
      <w:r w:rsidR="00C0625C" w:rsidRPr="00A11646">
        <w:rPr>
          <w:rFonts w:ascii="Times New Roman" w:hAnsi="Times New Roman"/>
          <w:sz w:val="28"/>
          <w:szCs w:val="28"/>
        </w:rPr>
        <w:t xml:space="preserve"> </w:t>
      </w:r>
      <w:r w:rsidRPr="00A11646">
        <w:rPr>
          <w:rFonts w:ascii="Times New Roman" w:hAnsi="Times New Roman"/>
          <w:sz w:val="28"/>
          <w:szCs w:val="28"/>
        </w:rPr>
        <w:t xml:space="preserve">[7, с. 140, 17, с. 32-35; 18, с. 30-32; 22, с. </w:t>
      </w:r>
      <w:r w:rsidR="00CB64FE">
        <w:rPr>
          <w:rFonts w:ascii="Times New Roman" w:hAnsi="Times New Roman"/>
          <w:sz w:val="28"/>
          <w:szCs w:val="28"/>
        </w:rPr>
        <w:t>25-33; 23, с.</w:t>
      </w:r>
      <w:r w:rsidRPr="00A11646">
        <w:rPr>
          <w:rFonts w:ascii="Times New Roman" w:hAnsi="Times New Roman"/>
          <w:sz w:val="28"/>
          <w:szCs w:val="28"/>
        </w:rPr>
        <w:t xml:space="preserve">56-58; 73, с. 593-599].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 Согласно классификации Всемирной организации здравоохранения (ВОЗ, 2008) различаются следующие формы ММ</w:t>
      </w:r>
      <w:r w:rsidR="00C0625C">
        <w:rPr>
          <w:rFonts w:ascii="Times New Roman" w:hAnsi="Times New Roman"/>
          <w:sz w:val="28"/>
          <w:szCs w:val="28"/>
          <w:lang w:val="uz-Cyrl-UZ"/>
        </w:rPr>
        <w:t xml:space="preserve"> </w:t>
      </w:r>
      <w:r w:rsidRPr="00A11646">
        <w:rPr>
          <w:rFonts w:ascii="Times New Roman" w:hAnsi="Times New Roman"/>
          <w:sz w:val="28"/>
          <w:szCs w:val="28"/>
        </w:rPr>
        <w:t>[</w:t>
      </w:r>
      <w:r w:rsidRPr="00A11646">
        <w:rPr>
          <w:rFonts w:ascii="Times New Roman" w:hAnsi="Times New Roman"/>
          <w:sz w:val="28"/>
          <w:szCs w:val="28"/>
          <w:lang w:val="uz-Cyrl-UZ"/>
        </w:rPr>
        <w:t>51, с. 55-71</w:t>
      </w:r>
      <w:r w:rsidRPr="00A11646">
        <w:rPr>
          <w:rFonts w:ascii="Times New Roman" w:hAnsi="Times New Roman"/>
          <w:sz w:val="28"/>
          <w:szCs w:val="28"/>
        </w:rPr>
        <w:t>]:</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1. Множественная миелома;</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2. Вялотекущая миелома:</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3.Плазмоцитома: солитарная и экстрамедуллярная;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lastRenderedPageBreak/>
        <w:t>4. Злокачественные лимфопролиферативные заболевания: а) макро-глобулинемия</w:t>
      </w:r>
      <w:r w:rsidR="00A202D2">
        <w:rPr>
          <w:rFonts w:ascii="Times New Roman" w:hAnsi="Times New Roman"/>
          <w:sz w:val="28"/>
          <w:szCs w:val="28"/>
          <w:lang w:val="uz-Cyrl-UZ"/>
        </w:rPr>
        <w:t xml:space="preserve"> </w:t>
      </w:r>
      <w:r w:rsidRPr="00A11646">
        <w:rPr>
          <w:rFonts w:ascii="Times New Roman" w:hAnsi="Times New Roman"/>
          <w:sz w:val="28"/>
          <w:szCs w:val="28"/>
        </w:rPr>
        <w:t>Вальденстрема; б) неходжкинские лимфомы;</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 5. Болезнь тяжелых цепей;</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 6. Амилоидоз (первичный AL-амилоидоз и вторичный);</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 7. Редкие формы ММ (несекретирующая; остеосклеротическая; биклональная миелома и плазмоклеточный лейкоз.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До настоящего времени остается приемлемой классификация, предложенная в 1975 г. G.M. Durie и S.E. Salmon (табл. 1.1.1.), согласно которой  в зависимости от уровня гемоглобина (</w:t>
      </w:r>
      <w:r w:rsidRPr="00A11646">
        <w:rPr>
          <w:rFonts w:ascii="Times New Roman" w:hAnsi="Times New Roman"/>
          <w:sz w:val="28"/>
          <w:szCs w:val="28"/>
          <w:lang w:val="en-US"/>
        </w:rPr>
        <w:t>Hb</w:t>
      </w:r>
      <w:r w:rsidRPr="00A11646">
        <w:rPr>
          <w:rFonts w:ascii="Times New Roman" w:hAnsi="Times New Roman"/>
          <w:sz w:val="28"/>
          <w:szCs w:val="28"/>
        </w:rPr>
        <w:t xml:space="preserve">), кальция в сыворотке крови, костной структуры, уровня продукции М-компонента различаются три стадии заболевания, при этом стадии распределяются на варианты «А» и «В»  в зависимости от функции почек [64, с. 52-61; 81, с. 5035; 113, с. 528]. </w:t>
      </w:r>
    </w:p>
    <w:p w:rsidR="00D754DD" w:rsidRPr="00A11646" w:rsidRDefault="00D754DD" w:rsidP="00D754DD">
      <w:pPr>
        <w:autoSpaceDE w:val="0"/>
        <w:autoSpaceDN w:val="0"/>
        <w:adjustRightInd w:val="0"/>
        <w:spacing w:after="0" w:line="360" w:lineRule="auto"/>
        <w:ind w:firstLine="708"/>
        <w:jc w:val="right"/>
        <w:rPr>
          <w:rFonts w:ascii="Times New Roman" w:hAnsi="Times New Roman"/>
          <w:b/>
          <w:sz w:val="28"/>
          <w:szCs w:val="28"/>
        </w:rPr>
      </w:pPr>
      <w:r w:rsidRPr="00A11646">
        <w:rPr>
          <w:rFonts w:ascii="Times New Roman" w:hAnsi="Times New Roman"/>
          <w:b/>
          <w:sz w:val="28"/>
          <w:szCs w:val="28"/>
        </w:rPr>
        <w:t>Таблица 1.1.1.</w:t>
      </w:r>
    </w:p>
    <w:p w:rsidR="00D754DD" w:rsidRPr="00A11646" w:rsidRDefault="00D754DD" w:rsidP="00D754DD">
      <w:pPr>
        <w:autoSpaceDE w:val="0"/>
        <w:autoSpaceDN w:val="0"/>
        <w:adjustRightInd w:val="0"/>
        <w:spacing w:after="0" w:line="360" w:lineRule="auto"/>
        <w:ind w:firstLine="708"/>
        <w:jc w:val="center"/>
        <w:rPr>
          <w:rFonts w:ascii="Times New Roman" w:hAnsi="Times New Roman"/>
          <w:b/>
          <w:sz w:val="28"/>
          <w:szCs w:val="28"/>
        </w:rPr>
      </w:pPr>
      <w:r w:rsidRPr="00A11646">
        <w:rPr>
          <w:rFonts w:ascii="Times New Roman" w:hAnsi="Times New Roman"/>
          <w:b/>
          <w:sz w:val="28"/>
          <w:szCs w:val="28"/>
        </w:rPr>
        <w:t xml:space="preserve">Классификация стадии ММ по </w:t>
      </w:r>
      <w:r w:rsidRPr="00A11646">
        <w:rPr>
          <w:rFonts w:ascii="Times New Roman" w:hAnsi="Times New Roman"/>
          <w:b/>
          <w:sz w:val="28"/>
          <w:szCs w:val="28"/>
          <w:lang w:val="en-US"/>
        </w:rPr>
        <w:t>G</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 xml:space="preserve">. </w:t>
      </w:r>
      <w:r w:rsidRPr="00A11646">
        <w:rPr>
          <w:rFonts w:ascii="Times New Roman" w:hAnsi="Times New Roman"/>
          <w:b/>
          <w:sz w:val="28"/>
          <w:szCs w:val="28"/>
          <w:lang w:val="en-US"/>
        </w:rPr>
        <w:t>Durie</w:t>
      </w:r>
      <w:r w:rsidRPr="00A11646">
        <w:rPr>
          <w:rFonts w:ascii="Times New Roman" w:hAnsi="Times New Roman"/>
          <w:b/>
          <w:sz w:val="28"/>
          <w:szCs w:val="28"/>
        </w:rPr>
        <w:t xml:space="preserve"> и </w:t>
      </w:r>
      <w:r w:rsidRPr="00A11646">
        <w:rPr>
          <w:rFonts w:ascii="Times New Roman" w:hAnsi="Times New Roman"/>
          <w:b/>
          <w:sz w:val="28"/>
          <w:szCs w:val="28"/>
          <w:lang w:val="en-US"/>
        </w:rPr>
        <w:t>S</w:t>
      </w:r>
      <w:r w:rsidRPr="00A11646">
        <w:rPr>
          <w:rFonts w:ascii="Times New Roman" w:hAnsi="Times New Roman"/>
          <w:b/>
          <w:sz w:val="28"/>
          <w:szCs w:val="28"/>
        </w:rPr>
        <w:t>.</w:t>
      </w:r>
      <w:r w:rsidRPr="00A11646">
        <w:rPr>
          <w:rFonts w:ascii="Times New Roman" w:hAnsi="Times New Roman"/>
          <w:b/>
          <w:sz w:val="28"/>
          <w:szCs w:val="28"/>
          <w:lang w:val="en-US"/>
        </w:rPr>
        <w:t>E</w:t>
      </w:r>
      <w:r w:rsidRPr="00A11646">
        <w:rPr>
          <w:rFonts w:ascii="Times New Roman" w:hAnsi="Times New Roman"/>
          <w:b/>
          <w:sz w:val="28"/>
          <w:szCs w:val="28"/>
        </w:rPr>
        <w:t xml:space="preserve">. </w:t>
      </w:r>
      <w:r w:rsidRPr="00A11646">
        <w:rPr>
          <w:rFonts w:ascii="Times New Roman" w:hAnsi="Times New Roman"/>
          <w:b/>
          <w:sz w:val="28"/>
          <w:szCs w:val="28"/>
          <w:lang w:val="en-US"/>
        </w:rPr>
        <w:t>Salmon</w:t>
      </w:r>
      <w:r w:rsidRPr="00A11646">
        <w:rPr>
          <w:rFonts w:ascii="Times New Roman" w:hAnsi="Times New Roman"/>
          <w:b/>
          <w:sz w:val="28"/>
          <w:szCs w:val="28"/>
        </w:rPr>
        <w:t xml:space="preserve"> (1975).</w:t>
      </w:r>
    </w:p>
    <w:tbl>
      <w:tblPr>
        <w:tblStyle w:val="a6"/>
        <w:tblW w:w="0" w:type="auto"/>
        <w:tblLook w:val="04A0"/>
      </w:tblPr>
      <w:tblGrid>
        <w:gridCol w:w="1493"/>
        <w:gridCol w:w="5001"/>
        <w:gridCol w:w="2793"/>
      </w:tblGrid>
      <w:tr w:rsidR="00A11646" w:rsidRPr="00A11646" w:rsidTr="00C328C9">
        <w:tc>
          <w:tcPr>
            <w:tcW w:w="14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Стадия</w:t>
            </w:r>
          </w:p>
        </w:tc>
        <w:tc>
          <w:tcPr>
            <w:tcW w:w="5419"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Критерии</w:t>
            </w:r>
          </w:p>
        </w:tc>
        <w:tc>
          <w:tcPr>
            <w:tcW w:w="29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Масса миеломных клеток</w:t>
            </w:r>
          </w:p>
        </w:tc>
      </w:tr>
      <w:tr w:rsidR="00A11646" w:rsidRPr="00A11646" w:rsidTr="00C328C9">
        <w:tc>
          <w:tcPr>
            <w:tcW w:w="14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I</w:t>
            </w:r>
          </w:p>
        </w:tc>
        <w:tc>
          <w:tcPr>
            <w:tcW w:w="5419"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 xml:space="preserve">1. Гемоглобин &gt; 100 г/л. </w:t>
            </w:r>
          </w:p>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 xml:space="preserve">2. Общий кальций в сыворотке крови ≤ 2,65 ммоль/л. 3. Рентгенологически нормальная структура кости или 1 солитарный очаг остеодеструкции. </w:t>
            </w:r>
          </w:p>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4. Низкая степень продукции моноклонального протеина: IgG при G-миеломе &lt;50 г/л; IgА при А-миеломе &lt;30 г/л; Белок Бенс-Джонса &lt;4 г/24 часа.</w:t>
            </w:r>
          </w:p>
        </w:tc>
        <w:tc>
          <w:tcPr>
            <w:tcW w:w="2993"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p>
        </w:tc>
      </w:tr>
      <w:tr w:rsidR="00A11646" w:rsidRPr="00A11646" w:rsidTr="00C328C9">
        <w:tc>
          <w:tcPr>
            <w:tcW w:w="14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II</w:t>
            </w:r>
          </w:p>
        </w:tc>
        <w:tc>
          <w:tcPr>
            <w:tcW w:w="5419"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Показатели, не соответствующие ни I, ни III стадии.</w:t>
            </w:r>
          </w:p>
        </w:tc>
        <w:tc>
          <w:tcPr>
            <w:tcW w:w="2993"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 xml:space="preserve">600 – 1200 г/м2 </w:t>
            </w:r>
          </w:p>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(0,6 – 1,2 х10</w:t>
            </w:r>
            <w:r w:rsidRPr="00A11646">
              <w:rPr>
                <w:rFonts w:ascii="Times New Roman" w:hAnsi="Times New Roman"/>
                <w:sz w:val="28"/>
                <w:szCs w:val="28"/>
                <w:vertAlign w:val="superscript"/>
              </w:rPr>
              <w:t>12</w:t>
            </w:r>
            <w:r w:rsidRPr="00A11646">
              <w:rPr>
                <w:rFonts w:ascii="Times New Roman" w:hAnsi="Times New Roman"/>
                <w:sz w:val="28"/>
                <w:szCs w:val="28"/>
              </w:rPr>
              <w:t>/м2)</w:t>
            </w:r>
          </w:p>
        </w:tc>
      </w:tr>
      <w:tr w:rsidR="00A11646" w:rsidRPr="00A11646" w:rsidTr="00C328C9">
        <w:tc>
          <w:tcPr>
            <w:tcW w:w="14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lastRenderedPageBreak/>
              <w:t>III</w:t>
            </w:r>
          </w:p>
        </w:tc>
        <w:tc>
          <w:tcPr>
            <w:tcW w:w="5419"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 xml:space="preserve">Один критерий и более: </w:t>
            </w:r>
          </w:p>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1. Гемоглобин &lt; 85 г/л. 2. Общий кальций в сыворотке крови &gt; 2,65 ммоль/л. 3. Рентгенологически множественные очаги остеодеструкции в костях скелета. 4. Высокая степень продукции моноклонального протеина: • IgG при G-миеломе &gt;70 г/л; • IgА при А-миеломе &gt;50 г/л; • Белок Бенс-Джонса &gt;12 г/24 часа.</w:t>
            </w:r>
          </w:p>
        </w:tc>
        <w:tc>
          <w:tcPr>
            <w:tcW w:w="2993"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&gt;1200 г/м</w:t>
            </w:r>
            <w:r w:rsidRPr="00A11646">
              <w:rPr>
                <w:rFonts w:ascii="Times New Roman" w:hAnsi="Times New Roman"/>
                <w:sz w:val="28"/>
                <w:szCs w:val="28"/>
                <w:vertAlign w:val="superscript"/>
              </w:rPr>
              <w:t>2</w:t>
            </w:r>
          </w:p>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(&gt; 1,2х10</w:t>
            </w:r>
            <w:r w:rsidRPr="00A11646">
              <w:rPr>
                <w:rFonts w:ascii="Times New Roman" w:hAnsi="Times New Roman"/>
                <w:sz w:val="28"/>
                <w:szCs w:val="28"/>
                <w:vertAlign w:val="superscript"/>
              </w:rPr>
              <w:t>12</w:t>
            </w:r>
            <w:r w:rsidRPr="00A11646">
              <w:rPr>
                <w:rFonts w:ascii="Times New Roman" w:hAnsi="Times New Roman"/>
                <w:sz w:val="28"/>
                <w:szCs w:val="28"/>
              </w:rPr>
              <w:t>/м</w:t>
            </w:r>
            <w:r w:rsidRPr="00A11646">
              <w:rPr>
                <w:rFonts w:ascii="Times New Roman" w:hAnsi="Times New Roman"/>
                <w:sz w:val="28"/>
                <w:szCs w:val="28"/>
                <w:vertAlign w:val="superscript"/>
              </w:rPr>
              <w:t>2</w:t>
            </w:r>
            <w:r w:rsidRPr="00A11646">
              <w:rPr>
                <w:rFonts w:ascii="Times New Roman" w:hAnsi="Times New Roman"/>
                <w:sz w:val="28"/>
                <w:szCs w:val="28"/>
              </w:rPr>
              <w:t>)</w:t>
            </w:r>
          </w:p>
        </w:tc>
      </w:tr>
      <w:tr w:rsidR="00A11646" w:rsidRPr="00A11646" w:rsidTr="00C328C9">
        <w:tc>
          <w:tcPr>
            <w:tcW w:w="14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Подстадия</w:t>
            </w:r>
          </w:p>
        </w:tc>
        <w:tc>
          <w:tcPr>
            <w:tcW w:w="5419"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Критерии</w:t>
            </w:r>
          </w:p>
        </w:tc>
        <w:tc>
          <w:tcPr>
            <w:tcW w:w="29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Уровень креатинина</w:t>
            </w:r>
          </w:p>
        </w:tc>
      </w:tr>
      <w:tr w:rsidR="00A11646" w:rsidRPr="00A11646" w:rsidTr="00C328C9">
        <w:tc>
          <w:tcPr>
            <w:tcW w:w="14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А</w:t>
            </w:r>
          </w:p>
        </w:tc>
        <w:tc>
          <w:tcPr>
            <w:tcW w:w="5419"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 xml:space="preserve">Нормальная функция почек  </w:t>
            </w:r>
          </w:p>
        </w:tc>
        <w:tc>
          <w:tcPr>
            <w:tcW w:w="2993"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уровень креатинина в сыворотке крови ≤ 2 г/дл, или 177 ммоль/л</w:t>
            </w:r>
          </w:p>
        </w:tc>
      </w:tr>
      <w:tr w:rsidR="00A11646" w:rsidRPr="00A11646" w:rsidTr="00C328C9">
        <w:tc>
          <w:tcPr>
            <w:tcW w:w="1493" w:type="dxa"/>
          </w:tcPr>
          <w:p w:rsidR="00D754DD" w:rsidRPr="00A11646" w:rsidRDefault="00D754DD"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В</w:t>
            </w:r>
          </w:p>
        </w:tc>
        <w:tc>
          <w:tcPr>
            <w:tcW w:w="5419"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 xml:space="preserve">Функция почек нарушена </w:t>
            </w:r>
          </w:p>
          <w:p w:rsidR="00D754DD" w:rsidRPr="00A11646" w:rsidRDefault="00D754DD" w:rsidP="00C328C9">
            <w:pPr>
              <w:autoSpaceDE w:val="0"/>
              <w:autoSpaceDN w:val="0"/>
              <w:adjustRightInd w:val="0"/>
              <w:spacing w:line="360" w:lineRule="auto"/>
              <w:jc w:val="both"/>
              <w:rPr>
                <w:rFonts w:ascii="Times New Roman" w:hAnsi="Times New Roman"/>
                <w:sz w:val="28"/>
                <w:szCs w:val="28"/>
              </w:rPr>
            </w:pPr>
          </w:p>
        </w:tc>
        <w:tc>
          <w:tcPr>
            <w:tcW w:w="2993" w:type="dxa"/>
          </w:tcPr>
          <w:p w:rsidR="00D754DD" w:rsidRPr="00A11646" w:rsidRDefault="00D754DD" w:rsidP="00C328C9">
            <w:pPr>
              <w:autoSpaceDE w:val="0"/>
              <w:autoSpaceDN w:val="0"/>
              <w:adjustRightInd w:val="0"/>
              <w:spacing w:line="360" w:lineRule="auto"/>
              <w:jc w:val="both"/>
              <w:rPr>
                <w:rFonts w:ascii="Times New Roman" w:hAnsi="Times New Roman"/>
                <w:sz w:val="28"/>
                <w:szCs w:val="28"/>
              </w:rPr>
            </w:pPr>
            <w:r w:rsidRPr="00A11646">
              <w:rPr>
                <w:rFonts w:ascii="Times New Roman" w:hAnsi="Times New Roman"/>
                <w:sz w:val="28"/>
                <w:szCs w:val="28"/>
              </w:rPr>
              <w:t>уровень креатинина в сыворотке крови &gt; 2 г/дл, или 177 ммоль/л</w:t>
            </w:r>
          </w:p>
        </w:tc>
      </w:tr>
    </w:tbl>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Внедрение в медицину новых методов диагностики способствовало разработке Европейским обществом медицинской онкологии (ESMO, 2005 г.)   международного прогностического индекса (IPI - Internationalprognosticindex), который предусматривает деление заболевания на стадии по уровню содержания альбумина и β2-микроглобулина в крови [68, с. 215-224; 69, с. 2031-2033].   </w:t>
      </w:r>
    </w:p>
    <w:p w:rsidR="00D754DD" w:rsidRPr="00A11646" w:rsidRDefault="00D754DD" w:rsidP="00D754DD">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sz w:val="28"/>
          <w:szCs w:val="28"/>
        </w:rPr>
        <w:t xml:space="preserve">Все большее применение в современной онкогематологии находит классификация, основанная на определении иммунохимического варианта ММ, согласно которой различаются следующие варианты заболевания: </w:t>
      </w:r>
      <w:r w:rsidRPr="00A11646">
        <w:rPr>
          <w:rFonts w:ascii="Times New Roman" w:hAnsi="Times New Roman"/>
          <w:sz w:val="28"/>
          <w:szCs w:val="28"/>
          <w:lang w:val="en-US"/>
        </w:rPr>
        <w:t>G</w:t>
      </w:r>
      <w:bookmarkStart w:id="14" w:name="_Hlk7987482"/>
      <w:r w:rsidRPr="00A11646">
        <w:rPr>
          <w:rFonts w:ascii="Times New Roman" w:hAnsi="Times New Roman"/>
          <w:sz w:val="28"/>
          <w:szCs w:val="28"/>
          <w:lang w:val="uz-Cyrl-UZ"/>
        </w:rPr>
        <w:t>(κ и/или λ)</w:t>
      </w:r>
      <w:bookmarkEnd w:id="14"/>
      <w:r w:rsidRPr="00A11646">
        <w:rPr>
          <w:rFonts w:ascii="Times New Roman" w:hAnsi="Times New Roman"/>
          <w:sz w:val="28"/>
          <w:szCs w:val="28"/>
          <w:lang w:val="uz-Cyrl-UZ"/>
        </w:rPr>
        <w:t xml:space="preserve"> – миелома с частотой встречаемости от 55 до 65%, А </w:t>
      </w:r>
      <w:bookmarkStart w:id="15" w:name="_Hlk7987638"/>
      <w:r w:rsidRPr="00A11646">
        <w:rPr>
          <w:rFonts w:ascii="Times New Roman" w:hAnsi="Times New Roman"/>
          <w:sz w:val="28"/>
          <w:szCs w:val="28"/>
          <w:lang w:val="uz-Cyrl-UZ"/>
        </w:rPr>
        <w:t xml:space="preserve">(κ и/или </w:t>
      </w:r>
      <w:r w:rsidRPr="00A11646">
        <w:rPr>
          <w:rFonts w:ascii="Times New Roman" w:hAnsi="Times New Roman"/>
          <w:sz w:val="28"/>
          <w:szCs w:val="28"/>
          <w:lang w:val="uz-Cyrl-UZ"/>
        </w:rPr>
        <w:lastRenderedPageBreak/>
        <w:t>λ) – миелома  с частотой встречаемости от 20 до 25%</w:t>
      </w:r>
      <w:bookmarkEnd w:id="15"/>
      <w:r w:rsidRPr="00A11646">
        <w:rPr>
          <w:rFonts w:ascii="Times New Roman" w:hAnsi="Times New Roman"/>
          <w:sz w:val="28"/>
          <w:szCs w:val="28"/>
          <w:lang w:val="uz-Cyrl-UZ"/>
        </w:rPr>
        <w:t xml:space="preserve">, </w:t>
      </w:r>
      <w:r w:rsidRPr="00A11646">
        <w:rPr>
          <w:rFonts w:ascii="Times New Roman" w:hAnsi="Times New Roman"/>
          <w:sz w:val="28"/>
          <w:szCs w:val="28"/>
        </w:rPr>
        <w:t xml:space="preserve">D </w:t>
      </w:r>
      <w:r w:rsidRPr="00A11646">
        <w:rPr>
          <w:rFonts w:ascii="Times New Roman" w:hAnsi="Times New Roman"/>
          <w:sz w:val="28"/>
          <w:szCs w:val="28"/>
          <w:lang w:val="uz-Cyrl-UZ"/>
        </w:rPr>
        <w:t xml:space="preserve">(κ и/или λ) </w:t>
      </w:r>
      <w:r w:rsidRPr="00A11646">
        <w:rPr>
          <w:rFonts w:ascii="Times New Roman" w:hAnsi="Times New Roman"/>
          <w:sz w:val="28"/>
          <w:szCs w:val="28"/>
        </w:rPr>
        <w:t xml:space="preserve">– миелома с частотой встречаемости от 2 до 5%, Е </w:t>
      </w:r>
      <w:r w:rsidRPr="00A11646">
        <w:rPr>
          <w:rFonts w:ascii="Times New Roman" w:hAnsi="Times New Roman"/>
          <w:sz w:val="28"/>
          <w:szCs w:val="28"/>
          <w:lang w:val="uz-Cyrl-UZ"/>
        </w:rPr>
        <w:t>(κ и/или λ) – миелома  с неизвестной частотой встречаемости, миелома Бенс-Джонса (κ и/или λ) –    с частотой встречаемости от 12 до 20%, несекретирующая миелома с частотой встречаемости от 1 до 4%</w:t>
      </w:r>
      <w:r w:rsidRPr="00A11646">
        <w:rPr>
          <w:rFonts w:ascii="Times New Roman" w:hAnsi="Times New Roman"/>
          <w:sz w:val="28"/>
          <w:szCs w:val="28"/>
        </w:rPr>
        <w:t xml:space="preserve">, диклональные миеломы </w:t>
      </w:r>
      <w:r w:rsidRPr="00A11646">
        <w:rPr>
          <w:rFonts w:ascii="Times New Roman" w:hAnsi="Times New Roman"/>
          <w:sz w:val="28"/>
          <w:szCs w:val="28"/>
          <w:lang w:val="uz-Cyrl-UZ"/>
        </w:rPr>
        <w:t>(κ и/или λ) –  с частотой встречаемости от 1 до 2% и М (κ и/или λ) – миелома  с частотой встречаемости до 0,5%</w:t>
      </w:r>
      <w:r w:rsidRPr="00A11646">
        <w:rPr>
          <w:rFonts w:ascii="Times New Roman" w:hAnsi="Times New Roman"/>
          <w:sz w:val="28"/>
          <w:szCs w:val="28"/>
        </w:rPr>
        <w:t xml:space="preserve"> [7, с.140].</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Таким образом, при диагностике ММ с учетом выше</w:t>
      </w:r>
      <w:r w:rsidR="00CB28FD">
        <w:rPr>
          <w:rFonts w:ascii="Times New Roman" w:hAnsi="Times New Roman"/>
          <w:sz w:val="28"/>
          <w:szCs w:val="28"/>
          <w:lang w:val="uz-Cyrl-UZ"/>
        </w:rPr>
        <w:t xml:space="preserve"> </w:t>
      </w:r>
      <w:r w:rsidRPr="00A11646">
        <w:rPr>
          <w:rFonts w:ascii="Times New Roman" w:hAnsi="Times New Roman"/>
          <w:sz w:val="28"/>
          <w:szCs w:val="28"/>
        </w:rPr>
        <w:t xml:space="preserve">приведенных классификаций и современных требований предусматривается указывать иммунохимический вариант, стадию заболевания и международный прогностический индекс [78, с. 95; 79, с. 850-857; 82, с. 2333-2347].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p>
    <w:p w:rsidR="00D754DD" w:rsidRPr="00A11646" w:rsidRDefault="00D754DD" w:rsidP="00D754DD">
      <w:pPr>
        <w:autoSpaceDE w:val="0"/>
        <w:autoSpaceDN w:val="0"/>
        <w:adjustRightInd w:val="0"/>
        <w:spacing w:after="0" w:line="360" w:lineRule="auto"/>
        <w:ind w:firstLine="708"/>
        <w:jc w:val="center"/>
        <w:rPr>
          <w:rFonts w:ascii="Times New Roman" w:hAnsi="Times New Roman"/>
          <w:b/>
          <w:sz w:val="28"/>
          <w:szCs w:val="28"/>
        </w:rPr>
      </w:pPr>
      <w:r w:rsidRPr="00A11646">
        <w:rPr>
          <w:rFonts w:ascii="Times New Roman" w:hAnsi="Times New Roman"/>
          <w:b/>
          <w:sz w:val="28"/>
          <w:szCs w:val="28"/>
        </w:rPr>
        <w:t xml:space="preserve">§1.2. </w:t>
      </w:r>
      <w:bookmarkStart w:id="16" w:name="_Hlk8147805"/>
      <w:r w:rsidRPr="00A11646">
        <w:rPr>
          <w:rFonts w:ascii="Times New Roman" w:hAnsi="Times New Roman"/>
          <w:b/>
          <w:sz w:val="28"/>
          <w:szCs w:val="28"/>
        </w:rPr>
        <w:t xml:space="preserve">Механизмы развития множественной миеломы </w:t>
      </w:r>
      <w:bookmarkEnd w:id="16"/>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Несмотря на длительный период изучения ММ причинные факторы и механизмы развития заболевания в настоящее время остаются малоизвестными [1, с. 404-407]. Тем не менее в качестве предрасполагающих факторов развития ММ, как и любой другой онкогематологической патологии, особое место отводится наследственной предрасположенности, генетическим факторам, воздействию ионизирующей радиации, различных токсических веществ, длительные неблагоприятные эмоциональные напряжения [4, с. 404-423].  Однако на сегодня нет доказательств о главенствующей роли какого-либо из перечисленных факторов в развитии ММ, т.к. экспериментальными исследованиями показано, что для опухолевой прогрессии влияние одного фактора недостаточно, для проявления опухолевого фенотипа необходимо одновременно совместное воздействие нескольких</w:t>
      </w:r>
      <w:r w:rsidRPr="00A11646">
        <w:rPr>
          <w:rFonts w:ascii="Times New Roman" w:hAnsi="Times New Roman"/>
          <w:sz w:val="28"/>
          <w:szCs w:val="28"/>
          <w:lang w:val="uz-Cyrl-UZ"/>
        </w:rPr>
        <w:t xml:space="preserve"> факторов. В современной литературе приводятся данные, что фактором приводящим к развитию ММ могут являться моноклональные гаммапатии. Данную точку зрения подтверждает наличие вероятности (0,015) формирования </w:t>
      </w:r>
      <w:r w:rsidRPr="00A11646">
        <w:rPr>
          <w:rFonts w:ascii="Times New Roman" w:hAnsi="Times New Roman"/>
          <w:sz w:val="28"/>
          <w:szCs w:val="28"/>
          <w:lang w:val="uz-Cyrl-UZ"/>
        </w:rPr>
        <w:lastRenderedPageBreak/>
        <w:t xml:space="preserve">заболевания у лиц с гаммапатией, а также прямая зависимость между частотой встречаемости гаммапатии и пожилым возрастом  [9, с. 12-18].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На сегодня известно, что субстратом опухолевого процесса при ММ являются плазматические клетки, которые продуцируют патологический моноклональный иммуноглобулин [39, с. 73-780]. Непрерывные изыскания в изучении механизмов формирования ММ привели к разработке ряда теорий о приобретении злокачественности нормальных клеток [4, с. 404-423]. Так, согласно, одной теории плазматические клетки представляет собой конечный этап дифференцировки клеток патологического клона, ранние стадии которого находятся на уровне пре-В или про-В лимфоцитов, либо самой стволовой клетки кроветворения. Согласно другой теории, мишенью онкологической трансформации является поздняя стадия В-лимфоцита, которая прошла всю последовательность клеточной дифференцировки [7, с.140 21, с. 270-277; 27, с. 93-98].</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Некоторые ученые отмечают, что в основе сложных механизмов развития ММ лежат хромосомные абберации и различные геномные нарушения, которые сопряжены с нарушениями процессов регуляции прогрессии клеточного цикла [4, с. 404-423; </w:t>
      </w:r>
      <w:bookmarkStart w:id="17" w:name="_Hlk8229770"/>
      <w:r w:rsidRPr="00A11646">
        <w:rPr>
          <w:rFonts w:ascii="Times New Roman" w:hAnsi="Times New Roman"/>
          <w:sz w:val="28"/>
          <w:szCs w:val="28"/>
        </w:rPr>
        <w:t>38, с. 843-853; 83, с. 710-718; 106, с. 268</w:t>
      </w:r>
      <w:bookmarkEnd w:id="17"/>
      <w:r w:rsidRPr="00A11646">
        <w:rPr>
          <w:rFonts w:ascii="Times New Roman" w:hAnsi="Times New Roman"/>
          <w:sz w:val="28"/>
          <w:szCs w:val="28"/>
        </w:rPr>
        <w:t xml:space="preserve">]. Drach J.(2008) и другие ученые (2013, 2018) приводит данные, что наличие у лиц таких хромосомных аномалий  как делеция 17p, t(4;14), t(14;16), 13-й хромосомы, гипердиплоидия, t(11;14) и t(6;14) позволяет относить их в группу высокого риска [53, с. 262–265; 98, с. 131-13; 99,  с. 25-32; 101, с. 1353-1361; 103, с.102-110; 115, с. 60-65].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В работах российских ученых (2014) отмечается важная роль взаимодействия опухолевых клеток с их стромальным микроокружением в костном мозге, что является одним из ведущих звеньев в процессах опухолевой адгезии и опухолевого ангиогенеза, приводящих к нарушениям равновесия между остеобластами и остеокластами, а также стимуляции опухолевого роста посредством синтеза и воздействия </w:t>
      </w:r>
      <w:r w:rsidRPr="00A11646">
        <w:rPr>
          <w:rFonts w:ascii="Times New Roman" w:hAnsi="Times New Roman"/>
          <w:sz w:val="28"/>
          <w:szCs w:val="28"/>
        </w:rPr>
        <w:lastRenderedPageBreak/>
        <w:t xml:space="preserve">различных цитокинов, </w:t>
      </w:r>
      <w:r w:rsidR="00637343">
        <w:rPr>
          <w:rFonts w:ascii="Times New Roman" w:hAnsi="Times New Roman"/>
          <w:sz w:val="28"/>
          <w:szCs w:val="28"/>
          <w:lang w:val="uz-Cyrl-UZ"/>
        </w:rPr>
        <w:t xml:space="preserve">в </w:t>
      </w:r>
      <w:r w:rsidRPr="00A11646">
        <w:rPr>
          <w:rFonts w:ascii="Times New Roman" w:hAnsi="Times New Roman"/>
          <w:sz w:val="28"/>
          <w:szCs w:val="28"/>
        </w:rPr>
        <w:t xml:space="preserve">частности  интерлейкина 6 (IL-6) [1, с. 404-407; 5, с. 87-93; 49, с. С. 91-101].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По данным И.В. Бабкиной и соавт. (2013) IL-6 является фактором антиапоптоза и роста для опухолевых миеломных кле</w:t>
      </w:r>
      <w:r w:rsidR="004B480B">
        <w:rPr>
          <w:rFonts w:ascii="Times New Roman" w:hAnsi="Times New Roman"/>
          <w:sz w:val="28"/>
          <w:szCs w:val="28"/>
        </w:rPr>
        <w:t>ток, и  непосредственно участву</w:t>
      </w:r>
      <w:r w:rsidRPr="00A11646">
        <w:rPr>
          <w:rFonts w:ascii="Times New Roman" w:hAnsi="Times New Roman"/>
          <w:sz w:val="28"/>
          <w:szCs w:val="28"/>
        </w:rPr>
        <w:t xml:space="preserve">ет  в их  пролиферации и дифференцировке [2, с. 21-35.].  Наряду с этим известно, что IL-6 в ассоциации с другими цитокинами, такими как IL-1β, IL-11 и </w:t>
      </w:r>
      <w:r w:rsidRPr="00A11646">
        <w:rPr>
          <w:rFonts w:ascii="Times New Roman" w:hAnsi="Times New Roman"/>
          <w:sz w:val="28"/>
          <w:szCs w:val="28"/>
          <w:lang w:val="en-US"/>
        </w:rPr>
        <w:t>tumornecrosysfactor</w:t>
      </w:r>
      <w:r w:rsidRPr="00A11646">
        <w:rPr>
          <w:rFonts w:ascii="Times New Roman" w:hAnsi="Times New Roman"/>
          <w:sz w:val="28"/>
          <w:szCs w:val="28"/>
        </w:rPr>
        <w:t xml:space="preserve">-α (TNF-α) приводят к развитию высокой активности остеокластов, приводящих к процессам резорбции костной ткани при ММ </w:t>
      </w:r>
      <w:bookmarkStart w:id="18" w:name="_Hlk8229919"/>
      <w:r w:rsidRPr="00A11646">
        <w:rPr>
          <w:rFonts w:ascii="Times New Roman" w:hAnsi="Times New Roman"/>
          <w:sz w:val="28"/>
          <w:szCs w:val="28"/>
        </w:rPr>
        <w:t>[19, с. 313-335; 29, с. 570-582]</w:t>
      </w:r>
      <w:bookmarkEnd w:id="18"/>
      <w:r w:rsidRPr="00A11646">
        <w:rPr>
          <w:rFonts w:ascii="Times New Roman" w:hAnsi="Times New Roman"/>
          <w:sz w:val="28"/>
          <w:szCs w:val="28"/>
        </w:rPr>
        <w:t xml:space="preserve">. </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Результаты ряда исследований свидетельствуют, о весомой роли сосудистых цитокинов (эндотелиальный фактор роста (VEGF), основной фактор роста фибробластов (bFGF), фактор роста гепатоцитов (HGF</w:t>
      </w:r>
      <w:r w:rsidR="004B480B">
        <w:rPr>
          <w:rFonts w:ascii="Times New Roman" w:hAnsi="Times New Roman"/>
          <w:sz w:val="28"/>
          <w:szCs w:val="28"/>
          <w:lang w:val="uz-Cyrl-UZ"/>
        </w:rPr>
        <w:t>)</w:t>
      </w:r>
      <w:r w:rsidRPr="00A11646">
        <w:rPr>
          <w:rFonts w:ascii="Times New Roman" w:hAnsi="Times New Roman"/>
          <w:sz w:val="28"/>
          <w:szCs w:val="28"/>
        </w:rPr>
        <w:t xml:space="preserve">), в формировании и последующем прогрессировании ММ. Рассматриваются предположения, что сосудистые цитокины   могут выступать в качестве стимуляторов роста опухолевых плазматических клеток, а также сигнальных путей усиленного синтеза  IL-6, что в свою очередь создает условия бесконтрольного роста опухолевого клона и активации остеокластов, приводящих к разрушению костной ткани при ММ [3, с. 530; 116, с. 1492-1495]. </w:t>
      </w:r>
    </w:p>
    <w:p w:rsidR="00D754DD" w:rsidRDefault="00D754DD" w:rsidP="00D754DD">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Таким образом, причинные факторы, способствующие развитию ММ весьма разнообразны, а механизмы развития достаточно сложны, и на сегодняшний день так и остаются неизвестными [77, с. 230-269; 100, с. 69-82]. Однако</w:t>
      </w:r>
      <w:r w:rsidR="004B480B">
        <w:rPr>
          <w:rFonts w:ascii="Times New Roman" w:hAnsi="Times New Roman"/>
          <w:sz w:val="28"/>
          <w:szCs w:val="28"/>
          <w:lang w:val="uz-Cyrl-UZ"/>
        </w:rPr>
        <w:t xml:space="preserve"> </w:t>
      </w:r>
      <w:r w:rsidRPr="00A11646">
        <w:rPr>
          <w:rFonts w:ascii="Times New Roman" w:hAnsi="Times New Roman"/>
          <w:sz w:val="28"/>
          <w:szCs w:val="28"/>
        </w:rPr>
        <w:t>сочетанное воздействие факторов внешней среды (канцерогены, радиация, химические соединения, инфекции, стрессовые ситуации и др.) могут приводить к сложным необратимым генетическим поломка</w:t>
      </w:r>
      <w:r w:rsidR="004B480B">
        <w:rPr>
          <w:rFonts w:ascii="Times New Roman" w:hAnsi="Times New Roman"/>
          <w:sz w:val="28"/>
          <w:szCs w:val="28"/>
          <w:lang w:val="uz-Cyrl-UZ"/>
        </w:rPr>
        <w:t>м</w:t>
      </w:r>
      <w:r w:rsidRPr="00A11646">
        <w:rPr>
          <w:rFonts w:ascii="Times New Roman" w:hAnsi="Times New Roman"/>
          <w:sz w:val="28"/>
          <w:szCs w:val="28"/>
        </w:rPr>
        <w:t xml:space="preserve"> в регуляции клеточного роста, чрезмерной продукции цитокинов, к стимуляции активности остеокластов, и как следствие этого к формированию ММ.</w:t>
      </w:r>
    </w:p>
    <w:p w:rsidR="00CA4766" w:rsidRPr="00CA4766" w:rsidRDefault="00CA4766" w:rsidP="00D754DD">
      <w:pPr>
        <w:autoSpaceDE w:val="0"/>
        <w:autoSpaceDN w:val="0"/>
        <w:adjustRightInd w:val="0"/>
        <w:spacing w:after="0" w:line="360" w:lineRule="auto"/>
        <w:ind w:firstLine="708"/>
        <w:jc w:val="both"/>
        <w:rPr>
          <w:rFonts w:ascii="Times New Roman" w:hAnsi="Times New Roman"/>
          <w:sz w:val="28"/>
          <w:szCs w:val="28"/>
          <w:lang w:val="uz-Cyrl-UZ"/>
        </w:rPr>
      </w:pPr>
    </w:p>
    <w:p w:rsidR="00D754DD" w:rsidRPr="00A11646" w:rsidRDefault="00D754DD" w:rsidP="00E41F46">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b/>
          <w:sz w:val="28"/>
          <w:szCs w:val="28"/>
        </w:rPr>
        <w:lastRenderedPageBreak/>
        <w:t xml:space="preserve">§1.3. </w:t>
      </w:r>
      <w:bookmarkStart w:id="19" w:name="_Hlk8147864"/>
      <w:r w:rsidRPr="00A11646">
        <w:rPr>
          <w:rFonts w:ascii="Times New Roman" w:hAnsi="Times New Roman"/>
          <w:b/>
          <w:sz w:val="28"/>
          <w:szCs w:val="28"/>
        </w:rPr>
        <w:t>Вопросы диагностики и лечения множественной миеломы</w:t>
      </w:r>
      <w:bookmarkEnd w:id="19"/>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cr/>
      </w:r>
      <w:r w:rsidRPr="00A11646">
        <w:rPr>
          <w:rFonts w:ascii="Times New Roman" w:hAnsi="Times New Roman"/>
          <w:sz w:val="28"/>
          <w:szCs w:val="28"/>
        </w:rPr>
        <w:tab/>
      </w:r>
      <w:bookmarkStart w:id="20" w:name="_Hlk8229992"/>
      <w:r w:rsidRPr="00A11646">
        <w:rPr>
          <w:rFonts w:ascii="Times New Roman" w:hAnsi="Times New Roman"/>
          <w:sz w:val="28"/>
          <w:szCs w:val="28"/>
        </w:rPr>
        <w:t xml:space="preserve">Диагностика ММ учитывая полиморфность клинических проявлений, течения заболевания нередко сопряжена с рядом трудностей, что связано с выявлением увеличения плазматических клеток, парапротеинемии и костных поражений при различных состояниях и заболеваниях [26, с. С. 1417; 56, с. 19-36; 84, с. 710-718]. </w:t>
      </w:r>
      <w:bookmarkEnd w:id="20"/>
      <w:r w:rsidRPr="00A11646">
        <w:rPr>
          <w:rFonts w:ascii="Times New Roman" w:hAnsi="Times New Roman"/>
          <w:sz w:val="28"/>
          <w:szCs w:val="28"/>
        </w:rPr>
        <w:t xml:space="preserve">В связи с этим в настоящее время разработаны диагностические критерии ММ, которые основываются на клинико-лабораторных и инструментальных данных [25, с.  11-14; 96, с. 584-588].  </w:t>
      </w:r>
      <w:bookmarkStart w:id="21" w:name="_Hlk21109402"/>
      <w:r w:rsidRPr="00A11646">
        <w:rPr>
          <w:rFonts w:ascii="Times New Roman" w:hAnsi="Times New Roman"/>
          <w:sz w:val="28"/>
          <w:szCs w:val="28"/>
        </w:rPr>
        <w:t>Диагностические критерии ММ распределяются на большие (наличие</w:t>
      </w:r>
      <w:r w:rsidR="009511FC">
        <w:rPr>
          <w:rFonts w:ascii="Times New Roman" w:hAnsi="Times New Roman"/>
          <w:sz w:val="28"/>
          <w:szCs w:val="28"/>
          <w:lang w:val="uz-Cyrl-UZ"/>
        </w:rPr>
        <w:t xml:space="preserve"> </w:t>
      </w:r>
      <w:r w:rsidRPr="00A11646">
        <w:rPr>
          <w:rFonts w:ascii="Times New Roman" w:hAnsi="Times New Roman"/>
          <w:sz w:val="28"/>
          <w:szCs w:val="28"/>
        </w:rPr>
        <w:t>плазмоцитов в костном мозге &lt; 30%; моноклональный белок в сыворотке крови: &gt; 35,0 г/л; IgG&gt;20,0 г/л; IgA 1,0 г/24 ч; k или λ легких цепей в моче) и малые критерии (плазмоциты в костном мозге 10-30%; моноклональный белок в меньшем количестве, чем при больших критериях; очаги остеолизиса в костях; содержание  иммуноглобулинов в норме: IgA&lt; 1,0г/л; IgM&lt; 0,5 г/л; IgG&lt; 6,0 г/л). Диагноз ММ подтверждается при наличии одного большого критерия и одного малого критерия или при наличии трех малых критериев [68, с. 215-224; 35, с. С. 72-78].</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Необходимо отметить, что характерной особенностью для ММ является, то, что миеломными клетками секретируется моноклональный бел</w:t>
      </w:r>
      <w:r w:rsidRPr="00A11646">
        <w:rPr>
          <w:rFonts w:ascii="Times New Roman" w:hAnsi="Times New Roman"/>
          <w:sz w:val="28"/>
          <w:szCs w:val="28"/>
          <w:lang w:val="uz-Cyrl-UZ"/>
        </w:rPr>
        <w:t>ок</w:t>
      </w:r>
      <w:r w:rsidRPr="00A11646">
        <w:rPr>
          <w:rFonts w:ascii="Times New Roman" w:hAnsi="Times New Roman"/>
          <w:sz w:val="28"/>
          <w:szCs w:val="28"/>
        </w:rPr>
        <w:t>, который является ключевым маркером как в диагностике и прогнозировании, так и в оценке эффективности лечения ММ [8, с.16-22].</w:t>
      </w:r>
    </w:p>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Моноклональные белки</w:t>
      </w:r>
      <w:r w:rsidRPr="00A11646">
        <w:rPr>
          <w:rFonts w:ascii="Times New Roman" w:hAnsi="Times New Roman"/>
          <w:sz w:val="28"/>
          <w:szCs w:val="28"/>
        </w:rPr>
        <w:t xml:space="preserve"> (тяжелые, легки и свободные цепи) выявляются при иммунохимической диагностике, которая основана на электрофорезе с иммунофиксацией белков сыворотки крови и концентрированной мочи. Согласно рекомендациям IMWG данное исследование имеет большое значение не только для выявления, но и для оценки прогноза ММ. </w:t>
      </w:r>
      <w:bookmarkStart w:id="22" w:name="_Hlk8230292"/>
      <w:r w:rsidRPr="00A11646">
        <w:rPr>
          <w:rFonts w:ascii="Times New Roman" w:hAnsi="Times New Roman"/>
          <w:sz w:val="28"/>
          <w:szCs w:val="28"/>
        </w:rPr>
        <w:t xml:space="preserve">В зависимости от содержания моноклональных белков в сочетании с рядом других диагностических показателей можно </w:t>
      </w:r>
      <w:r w:rsidRPr="00A11646">
        <w:rPr>
          <w:rFonts w:ascii="Times New Roman" w:hAnsi="Times New Roman"/>
          <w:sz w:val="28"/>
          <w:szCs w:val="28"/>
        </w:rPr>
        <w:lastRenderedPageBreak/>
        <w:t>оценивать результаты лечения ММ, определяя частичную или полную ремиссию [44, с. С. 269-280; 104, с. 189-196; 105, с. 101-118].</w:t>
      </w:r>
    </w:p>
    <w:bookmarkEnd w:id="22"/>
    <w:p w:rsidR="00D754DD" w:rsidRPr="00A11646" w:rsidRDefault="00D754DD" w:rsidP="00D754DD">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Течение ММ </w:t>
      </w:r>
      <w:r w:rsidRPr="00A11646">
        <w:rPr>
          <w:rFonts w:ascii="Times New Roman" w:hAnsi="Times New Roman"/>
          <w:sz w:val="28"/>
          <w:szCs w:val="28"/>
          <w:lang w:val="uz-Cyrl-UZ"/>
        </w:rPr>
        <w:t xml:space="preserve">во многом </w:t>
      </w:r>
      <w:r w:rsidRPr="00A11646">
        <w:rPr>
          <w:rFonts w:ascii="Times New Roman" w:hAnsi="Times New Roman"/>
          <w:sz w:val="28"/>
          <w:szCs w:val="28"/>
        </w:rPr>
        <w:t xml:space="preserve">зависит от </w:t>
      </w:r>
      <w:r w:rsidRPr="00A11646">
        <w:rPr>
          <w:rFonts w:ascii="Times New Roman" w:hAnsi="Times New Roman"/>
          <w:sz w:val="28"/>
          <w:szCs w:val="28"/>
          <w:lang w:val="uz-Cyrl-UZ"/>
        </w:rPr>
        <w:t xml:space="preserve">иммунохимического варианта с вовлечением тех или иных </w:t>
      </w:r>
      <w:r w:rsidRPr="00A11646">
        <w:rPr>
          <w:rFonts w:ascii="Times New Roman" w:hAnsi="Times New Roman"/>
          <w:sz w:val="28"/>
          <w:szCs w:val="28"/>
        </w:rPr>
        <w:t xml:space="preserve">иммуноглобулинов тяжелых и легких цепей. Так A-миелома в сравнение с </w:t>
      </w:r>
      <w:r w:rsidRPr="00A11646">
        <w:rPr>
          <w:rFonts w:ascii="Times New Roman" w:hAnsi="Times New Roman"/>
          <w:sz w:val="28"/>
          <w:szCs w:val="28"/>
          <w:lang w:val="en-US"/>
        </w:rPr>
        <w:t>G</w:t>
      </w:r>
      <w:r w:rsidRPr="00A11646">
        <w:rPr>
          <w:rFonts w:ascii="Times New Roman" w:hAnsi="Times New Roman"/>
          <w:sz w:val="28"/>
          <w:szCs w:val="28"/>
        </w:rPr>
        <w:t>-миеломой сопровождается более агрессивным течением, протекающей с выраженной опухолевой интоксикаци</w:t>
      </w:r>
      <w:r w:rsidR="00A953AF">
        <w:rPr>
          <w:rFonts w:ascii="Times New Roman" w:hAnsi="Times New Roman"/>
          <w:sz w:val="28"/>
          <w:szCs w:val="28"/>
          <w:lang w:val="uz-Cyrl-UZ"/>
        </w:rPr>
        <w:t>ей</w:t>
      </w:r>
      <w:r w:rsidRPr="00A11646">
        <w:rPr>
          <w:rFonts w:ascii="Times New Roman" w:hAnsi="Times New Roman"/>
          <w:sz w:val="28"/>
          <w:szCs w:val="28"/>
        </w:rPr>
        <w:t>, костными плазмоцитомами, высок</w:t>
      </w:r>
      <w:r w:rsidR="00A953AF">
        <w:rPr>
          <w:rFonts w:ascii="Times New Roman" w:hAnsi="Times New Roman"/>
          <w:sz w:val="28"/>
          <w:szCs w:val="28"/>
          <w:lang w:val="uz-Cyrl-UZ"/>
        </w:rPr>
        <w:t>имы</w:t>
      </w:r>
      <w:r w:rsidRPr="00A11646">
        <w:rPr>
          <w:rFonts w:ascii="Times New Roman" w:hAnsi="Times New Roman"/>
          <w:sz w:val="28"/>
          <w:szCs w:val="28"/>
        </w:rPr>
        <w:t xml:space="preserve"> протеинемией, содержанием кальция, мочевины, креатинина, γ и β</w:t>
      </w:r>
      <w:r w:rsidRPr="00A11646">
        <w:rPr>
          <w:rFonts w:ascii="Times New Roman" w:hAnsi="Times New Roman"/>
          <w:sz w:val="28"/>
          <w:szCs w:val="28"/>
          <w:vertAlign w:val="subscript"/>
        </w:rPr>
        <w:t xml:space="preserve">2 </w:t>
      </w:r>
      <w:r w:rsidRPr="00A11646">
        <w:rPr>
          <w:rFonts w:ascii="Times New Roman" w:hAnsi="Times New Roman"/>
          <w:sz w:val="28"/>
          <w:szCs w:val="28"/>
        </w:rPr>
        <w:t>- микроглобулинов в сыворотке крови. Тогда как для D-миеломы характерны высокий уровень пролиферации миеломных плазматических клеток, β</w:t>
      </w:r>
      <w:r w:rsidRPr="00A11646">
        <w:rPr>
          <w:rFonts w:ascii="Times New Roman" w:hAnsi="Times New Roman"/>
          <w:sz w:val="28"/>
          <w:szCs w:val="28"/>
          <w:vertAlign w:val="subscript"/>
        </w:rPr>
        <w:t>2</w:t>
      </w:r>
      <w:r w:rsidRPr="00A11646">
        <w:rPr>
          <w:rFonts w:ascii="Times New Roman" w:hAnsi="Times New Roman"/>
          <w:sz w:val="28"/>
          <w:szCs w:val="28"/>
        </w:rPr>
        <w:t xml:space="preserve"> - микроглобулина, с ассоциацией различных генетических аномалий [54, с. С. 183-200].</w:t>
      </w:r>
    </w:p>
    <w:p w:rsidR="00D754DD" w:rsidRPr="00A11646" w:rsidRDefault="00D754DD" w:rsidP="00D754DD">
      <w:pPr>
        <w:pStyle w:val="a3"/>
        <w:spacing w:line="360" w:lineRule="auto"/>
        <w:ind w:firstLine="709"/>
        <w:jc w:val="both"/>
        <w:rPr>
          <w:color w:val="auto"/>
        </w:rPr>
      </w:pPr>
      <w:r w:rsidRPr="00A11646">
        <w:rPr>
          <w:color w:val="auto"/>
        </w:rPr>
        <w:t>Низкая продолжительност</w:t>
      </w:r>
      <w:r w:rsidR="009511FC">
        <w:rPr>
          <w:color w:val="auto"/>
          <w:lang w:val="uz-Cyrl-UZ"/>
        </w:rPr>
        <w:t>ь</w:t>
      </w:r>
      <w:r w:rsidRPr="00A11646">
        <w:rPr>
          <w:color w:val="auto"/>
        </w:rPr>
        <w:t xml:space="preserve"> выживаемости больных с иммунохимическими вариантами ММ «A» и «D», является доказательством более неблагоприятное   течения. Так по данным зарубежных исследователей медиана БРВ и ОВ больных ММ с вариантом «G» составляют 58 и 99 месяцев, при варианте «A» – 49 и 83 месяца, а при варианте «D» – 41 и 84 месяца соответственно [72, с. 46-58; 111, с. 187-192].</w:t>
      </w:r>
    </w:p>
    <w:p w:rsidR="00D754DD" w:rsidRPr="00A11646" w:rsidRDefault="00D754DD" w:rsidP="00D754DD">
      <w:pPr>
        <w:pStyle w:val="a3"/>
        <w:spacing w:line="360" w:lineRule="auto"/>
        <w:ind w:firstLine="709"/>
        <w:jc w:val="both"/>
        <w:rPr>
          <w:color w:val="auto"/>
        </w:rPr>
      </w:pPr>
      <w:r w:rsidRPr="00A11646">
        <w:rPr>
          <w:color w:val="auto"/>
        </w:rPr>
        <w:t>Следует отметить, что миелома Бенс-Джонса, также является неблагоприятным в прогностическом плане вариантом, ассоциирующимся частым развитием тяжелой формы почечной недостаточности с медианой ОВ до 34 месяцев, что почти в 3 раза меньше такового показателя у больных с вариантом «G» - миеломы [71, с. 613].</w:t>
      </w:r>
    </w:p>
    <w:p w:rsidR="00D754DD" w:rsidRPr="00A11646" w:rsidRDefault="00D754DD" w:rsidP="00D754DD">
      <w:pPr>
        <w:pStyle w:val="a3"/>
        <w:spacing w:line="360" w:lineRule="auto"/>
        <w:ind w:firstLine="709"/>
        <w:jc w:val="both"/>
        <w:rPr>
          <w:color w:val="auto"/>
        </w:rPr>
      </w:pPr>
      <w:r w:rsidRPr="00A11646">
        <w:rPr>
          <w:color w:val="auto"/>
        </w:rPr>
        <w:t xml:space="preserve">Наряду с прогностической ценностью тяжелых цепей, важное значение имеет определение и легких цепей. По своей частоте «κ» - легкие цепи выявляются в 2 раза чаще, чем легкие цепи - «λ». Также, как и варианты тяжелых цепей они во многом определяют течение ММ. Так на сегодня известно, что ОВ больных ММ с «κ» - легкой цепью почти в три раза длиннее, по отношению к больным с «λ» - цепью, что связано с частым развитием резистентности к проводимой стандартной </w:t>
      </w:r>
      <w:r w:rsidRPr="00A11646">
        <w:rPr>
          <w:color w:val="auto"/>
        </w:rPr>
        <w:lastRenderedPageBreak/>
        <w:t>полихимиотерапии и приобретением заболевания более злокачественного течения [14, с.50-56; 65, с. 1-11; 86, с. 475-479].</w:t>
      </w:r>
    </w:p>
    <w:p w:rsidR="00D754DD" w:rsidRPr="00A11646" w:rsidRDefault="00D754DD" w:rsidP="00D754DD">
      <w:pPr>
        <w:pStyle w:val="a3"/>
        <w:spacing w:line="360" w:lineRule="auto"/>
        <w:ind w:firstLine="709"/>
        <w:jc w:val="both"/>
        <w:rPr>
          <w:color w:val="auto"/>
        </w:rPr>
      </w:pPr>
      <w:r w:rsidRPr="00A11646">
        <w:rPr>
          <w:color w:val="auto"/>
        </w:rPr>
        <w:t xml:space="preserve">Таким образом, ММ представляет собой сложное заболевание, характеризующееся многообразием клинических и лабораторных проявлений, сочетающимися с костно-деструктивными процессами, прогноз, которого во многом определяется иммунохимическим вариантом [85, с. 4-8]. </w:t>
      </w:r>
    </w:p>
    <w:bookmarkEnd w:id="21"/>
    <w:p w:rsidR="00D754DD" w:rsidRPr="00A11646" w:rsidRDefault="00D754DD" w:rsidP="00D754DD">
      <w:pPr>
        <w:pStyle w:val="a3"/>
        <w:spacing w:line="360" w:lineRule="auto"/>
        <w:ind w:firstLine="709"/>
        <w:jc w:val="both"/>
        <w:rPr>
          <w:color w:val="auto"/>
        </w:rPr>
      </w:pPr>
      <w:r w:rsidRPr="00A11646">
        <w:rPr>
          <w:color w:val="auto"/>
        </w:rPr>
        <w:t xml:space="preserve">Несмотря на довольно длительный период изучения ММ на сегодняшний день заболевание остается неизлечимым, что представляет собой нерешенную проблему. Со дня применения первых схем лечения ММ основной ее целью являлось продление жизни больных, что во многом зависит от своевременного правильного диагностического подхода и уровня развития медицинских технологий. </w:t>
      </w:r>
    </w:p>
    <w:p w:rsidR="00D754DD" w:rsidRPr="00A11646" w:rsidRDefault="00D754DD" w:rsidP="00D754DD">
      <w:pPr>
        <w:pStyle w:val="a3"/>
        <w:spacing w:line="360" w:lineRule="auto"/>
        <w:ind w:firstLine="709"/>
        <w:jc w:val="both"/>
        <w:rPr>
          <w:color w:val="auto"/>
        </w:rPr>
      </w:pPr>
      <w:r w:rsidRPr="00A11646">
        <w:rPr>
          <w:color w:val="auto"/>
        </w:rPr>
        <w:t>Литературные источники свидетельствуют, что до начала применения алкилирующих препаратов медиана ОВ больных с ММ составляла лишь 17 месяцев. Низкая продолжительность жизни больных во многом была ассоциирована частыми инфекционными осложнениями, экстрамедулярными поражениями, тяжелой почечной недостаточностью, которые все более усугублялись сопутствующей анеми</w:t>
      </w:r>
      <w:r w:rsidR="00A953AF">
        <w:rPr>
          <w:color w:val="auto"/>
          <w:lang w:val="uz-Cyrl-UZ"/>
        </w:rPr>
        <w:t>ей</w:t>
      </w:r>
      <w:r w:rsidRPr="00A11646">
        <w:rPr>
          <w:color w:val="auto"/>
        </w:rPr>
        <w:t xml:space="preserve"> и поражением костей [</w:t>
      </w:r>
      <w:r w:rsidRPr="00A11646">
        <w:rPr>
          <w:color w:val="auto"/>
          <w:lang w:val="uz-Cyrl-UZ"/>
        </w:rPr>
        <w:t>37, с. С. 25-30</w:t>
      </w:r>
      <w:r w:rsidRPr="00A11646">
        <w:rPr>
          <w:color w:val="auto"/>
        </w:rPr>
        <w:t xml:space="preserve">]. Все это явилось толчком в изучении и поиске новых методов и подходов в терапевтической тактике ММ [50, с. С. 63-73; 88, с. 538-544; 89, с. 73-80]. </w:t>
      </w:r>
    </w:p>
    <w:p w:rsidR="00D754DD" w:rsidRPr="00A11646" w:rsidRDefault="00D754DD" w:rsidP="00D754DD">
      <w:pPr>
        <w:pStyle w:val="a3"/>
        <w:spacing w:line="360" w:lineRule="auto"/>
        <w:ind w:firstLine="709"/>
        <w:jc w:val="both"/>
        <w:rPr>
          <w:color w:val="auto"/>
        </w:rPr>
      </w:pPr>
      <w:r w:rsidRPr="00A11646">
        <w:rPr>
          <w:color w:val="auto"/>
        </w:rPr>
        <w:t xml:space="preserve">Непрекращающиеся изыскания привели к применению в лечении ММ «мелфалана» в качестве противоопухолевого препарата. Однако эффективность лечения при дозе 0,025 мг/кг/сут отмечалась лишь в 19 % случаев, при этом медиана ОВ не превышала 18 месяцем. Применение в более высокой дозировке (1 мг/кг/сут) увеличило число ответов до 35 % случаев с той же медианой ОВ.  Введение в протокол лечения преднизолона позволило повысить эффективность до 65–73% случаев и увеличить ОВ до 31 месяца [97, с. 149-159]. </w:t>
      </w:r>
    </w:p>
    <w:p w:rsidR="00D754DD" w:rsidRPr="00A11646" w:rsidRDefault="00D754DD" w:rsidP="00D754DD">
      <w:pPr>
        <w:pStyle w:val="a3"/>
        <w:spacing w:line="360" w:lineRule="auto"/>
        <w:ind w:firstLine="709"/>
        <w:jc w:val="both"/>
        <w:rPr>
          <w:color w:val="auto"/>
        </w:rPr>
      </w:pPr>
      <w:r w:rsidRPr="00A11646">
        <w:rPr>
          <w:color w:val="auto"/>
          <w:lang w:val="uz-Cyrl-UZ"/>
        </w:rPr>
        <w:lastRenderedPageBreak/>
        <w:t xml:space="preserve">Продолжающийся поиск препаратов более высокой эффективности, а также результаты </w:t>
      </w:r>
      <w:r w:rsidRPr="00A11646">
        <w:rPr>
          <w:color w:val="auto"/>
        </w:rPr>
        <w:t>исследований применения различных протоколов  полихимиотерапии (ПХТ) показали, что комплексное применение противоопухолевых препаратов позволяет получить больший и стойкий терапевтический</w:t>
      </w:r>
      <w:r w:rsidR="00083017">
        <w:rPr>
          <w:color w:val="auto"/>
          <w:lang w:val="uz-Cyrl-UZ"/>
        </w:rPr>
        <w:t>,</w:t>
      </w:r>
      <w:r w:rsidRPr="00A11646">
        <w:rPr>
          <w:color w:val="auto"/>
        </w:rPr>
        <w:t xml:space="preserve"> противоопухолевый эффект [28, с. С.8-6]. Однако анализ результатов исследования свидетельствует о том, что ответ на проведенное лечение различны</w:t>
      </w:r>
      <w:r w:rsidR="00083017">
        <w:rPr>
          <w:color w:val="auto"/>
          <w:lang w:val="uz-Cyrl-UZ"/>
        </w:rPr>
        <w:t>ми</w:t>
      </w:r>
      <w:r w:rsidRPr="00A11646">
        <w:rPr>
          <w:color w:val="auto"/>
        </w:rPr>
        <w:t xml:space="preserve"> схем</w:t>
      </w:r>
      <w:r w:rsidR="00083017">
        <w:rPr>
          <w:color w:val="auto"/>
          <w:lang w:val="uz-Cyrl-UZ"/>
        </w:rPr>
        <w:t>ами</w:t>
      </w:r>
      <w:r w:rsidRPr="00A11646">
        <w:rPr>
          <w:color w:val="auto"/>
        </w:rPr>
        <w:t xml:space="preserve"> ПХТ весьма различен. Также важно отметить, что современные протоколы ПХТ имеют высокую токсичность, что создает ограничения их применения среди больных с возрастом более 60 лет, и в таких случаях оказываются приемлемыми применение менее агрессивных схем лечения [45, с. 1280-1286; 87, с. 282-285; 91, с. 217-223]. </w:t>
      </w:r>
    </w:p>
    <w:p w:rsidR="00D754DD" w:rsidRPr="00A11646" w:rsidRDefault="00D754DD" w:rsidP="00D754DD">
      <w:pPr>
        <w:pStyle w:val="a3"/>
        <w:spacing w:line="360" w:lineRule="auto"/>
        <w:ind w:firstLine="709"/>
        <w:jc w:val="both"/>
        <w:rPr>
          <w:color w:val="auto"/>
        </w:rPr>
      </w:pPr>
      <w:r w:rsidRPr="00A11646">
        <w:rPr>
          <w:color w:val="auto"/>
        </w:rPr>
        <w:t>На сегодняшний день накоплен огромный опыт в лечении ММ. Существующими исследованиями доказано, что медиана ОВ больных при применении стандартной ПХТ составляет до 3 лет. Внедрение в практику высокодозной ПХТ и трансплантацию костного мозга привело к повышению медианы ОВ, которая по данным Southwest</w:t>
      </w:r>
      <w:r w:rsidR="004E767E">
        <w:rPr>
          <w:color w:val="auto"/>
          <w:lang w:val="uz-Cyrl-UZ"/>
        </w:rPr>
        <w:t xml:space="preserve"> </w:t>
      </w:r>
      <w:r w:rsidRPr="00A11646">
        <w:rPr>
          <w:color w:val="auto"/>
        </w:rPr>
        <w:t>Oncology</w:t>
      </w:r>
      <w:r w:rsidR="004E767E">
        <w:rPr>
          <w:color w:val="auto"/>
          <w:lang w:val="uz-Cyrl-UZ"/>
        </w:rPr>
        <w:t xml:space="preserve"> </w:t>
      </w:r>
      <w:r w:rsidRPr="00A11646">
        <w:rPr>
          <w:color w:val="auto"/>
        </w:rPr>
        <w:t xml:space="preserve">Group (SWOG) может достигать до 33–34 месяцев. Увеличение ОВ больных ММ прежде всего связано с усовершенствованием лечения путем включения новых таргетных препаратов, механизм действия которых обусловлен их влиянием на регуляцию роста опухолевых клеток и их апоптоз  </w:t>
      </w:r>
      <w:bookmarkStart w:id="23" w:name="_Hlk8231208"/>
      <w:r w:rsidRPr="00A11646">
        <w:rPr>
          <w:color w:val="auto"/>
        </w:rPr>
        <w:t>[24, с. 94-100; 47, с. 236-248]</w:t>
      </w:r>
      <w:bookmarkEnd w:id="23"/>
      <w:r w:rsidRPr="00A11646">
        <w:rPr>
          <w:color w:val="auto"/>
        </w:rPr>
        <w:t>. Одним из таких препаратов является и</w:t>
      </w:r>
      <w:r w:rsidR="00536583">
        <w:rPr>
          <w:color w:val="auto"/>
        </w:rPr>
        <w:t>нгибитор протеосом - бортезомиб</w:t>
      </w:r>
      <w:r w:rsidRPr="00A11646">
        <w:rPr>
          <w:color w:val="auto"/>
        </w:rPr>
        <w:t>,</w:t>
      </w:r>
      <w:r w:rsidR="00536583">
        <w:rPr>
          <w:color w:val="auto"/>
          <w:lang w:val="uz-Cyrl-UZ"/>
        </w:rPr>
        <w:t xml:space="preserve"> </w:t>
      </w:r>
      <w:r w:rsidRPr="00A11646">
        <w:rPr>
          <w:color w:val="auto"/>
        </w:rPr>
        <w:t xml:space="preserve">эффективность которого подтверждена многочисленными исследованиями у больных с резистентной и рецидивирующей формами MM, отмечающаяся в достижении общего ответа в 89% против 42% и полных ремиссий в 32% против 5% случаев в сравнение с применением мелфалана [40, с. С. 712-718; 57, с. 1101-1104; 62, с. С. 1296-1299; 76, с. 392-399; 80, с. 5325-5336; 90, с. 2033-2041]. </w:t>
      </w:r>
    </w:p>
    <w:p w:rsidR="00D754DD" w:rsidRPr="00A11646" w:rsidRDefault="00D754DD" w:rsidP="00D754DD">
      <w:pPr>
        <w:pStyle w:val="a3"/>
        <w:spacing w:line="360" w:lineRule="auto"/>
        <w:ind w:firstLine="709"/>
        <w:jc w:val="both"/>
        <w:rPr>
          <w:color w:val="auto"/>
        </w:rPr>
      </w:pPr>
      <w:r w:rsidRPr="00A11646">
        <w:rPr>
          <w:color w:val="auto"/>
        </w:rPr>
        <w:t xml:space="preserve">Существующие на сегодня </w:t>
      </w:r>
      <w:r w:rsidR="00536583" w:rsidRPr="00A11646">
        <w:rPr>
          <w:color w:val="auto"/>
        </w:rPr>
        <w:t>схемы,</w:t>
      </w:r>
      <w:r w:rsidRPr="00A11646">
        <w:rPr>
          <w:color w:val="auto"/>
        </w:rPr>
        <w:t xml:space="preserve"> включающие бортезомиб (PAD: комбинации бортезомиба, доксорубицина и дексаметазона; VCD: бортезомиба, циклофосфана и дексаметазона) отличаются своей </w:t>
      </w:r>
      <w:r w:rsidRPr="00A11646">
        <w:rPr>
          <w:color w:val="auto"/>
        </w:rPr>
        <w:lastRenderedPageBreak/>
        <w:t>эффективностью от предыдущих протоколов лечения без бортезомиба [</w:t>
      </w:r>
      <w:r w:rsidRPr="00A11646">
        <w:rPr>
          <w:color w:val="auto"/>
          <w:lang w:val="uz-Cyrl-UZ"/>
        </w:rPr>
        <w:t>60, с. 2738-2740; 102, с. 921-929</w:t>
      </w:r>
      <w:r w:rsidR="00AE6959">
        <w:rPr>
          <w:color w:val="auto"/>
        </w:rPr>
        <w:t>]. Так</w:t>
      </w:r>
      <w:r w:rsidR="00AE6959">
        <w:rPr>
          <w:color w:val="auto"/>
          <w:lang w:val="uz-Cyrl-UZ"/>
        </w:rPr>
        <w:t>, по</w:t>
      </w:r>
      <w:r w:rsidRPr="00A11646">
        <w:rPr>
          <w:color w:val="auto"/>
        </w:rPr>
        <w:t xml:space="preserve"> данным зарубежных исследователей B.T. Huanget</w:t>
      </w:r>
      <w:r w:rsidRPr="00A11646">
        <w:rPr>
          <w:color w:val="auto"/>
          <w:lang w:val="en-US"/>
        </w:rPr>
        <w:t>a</w:t>
      </w:r>
      <w:r w:rsidRPr="00A11646">
        <w:rPr>
          <w:color w:val="auto"/>
        </w:rPr>
        <w:t xml:space="preserve">l. (2014),  </w:t>
      </w:r>
      <w:r w:rsidRPr="00A11646">
        <w:rPr>
          <w:color w:val="auto"/>
          <w:lang w:val="en-US"/>
        </w:rPr>
        <w:t>P</w:t>
      </w:r>
      <w:r w:rsidRPr="00A11646">
        <w:rPr>
          <w:color w:val="auto"/>
        </w:rPr>
        <w:t xml:space="preserve">. </w:t>
      </w:r>
      <w:r w:rsidRPr="00A11646">
        <w:rPr>
          <w:color w:val="auto"/>
          <w:lang w:val="en-US"/>
        </w:rPr>
        <w:t>Moreauetal</w:t>
      </w:r>
      <w:r w:rsidRPr="00A11646">
        <w:rPr>
          <w:color w:val="auto"/>
        </w:rPr>
        <w:t xml:space="preserve">. (2016)  </w:t>
      </w:r>
      <w:r w:rsidRPr="00A11646">
        <w:rPr>
          <w:color w:val="auto"/>
          <w:lang w:val="en-US"/>
        </w:rPr>
        <w:t>Z</w:t>
      </w:r>
      <w:r w:rsidRPr="00A11646">
        <w:rPr>
          <w:color w:val="auto"/>
        </w:rPr>
        <w:t xml:space="preserve">. </w:t>
      </w:r>
      <w:r w:rsidRPr="00A11646">
        <w:rPr>
          <w:color w:val="auto"/>
          <w:lang w:val="en-US"/>
        </w:rPr>
        <w:t>Xueetal</w:t>
      </w:r>
      <w:r w:rsidRPr="00A11646">
        <w:rPr>
          <w:color w:val="auto"/>
        </w:rPr>
        <w:t>. (2016) общий ответ  и полную ремиссию у больных MM при использовании протокола «</w:t>
      </w:r>
      <w:r w:rsidRPr="00A11646">
        <w:rPr>
          <w:color w:val="auto"/>
          <w:lang w:val="en-US"/>
        </w:rPr>
        <w:t>VCD</w:t>
      </w:r>
      <w:r w:rsidRPr="00A11646">
        <w:rPr>
          <w:color w:val="auto"/>
        </w:rPr>
        <w:t>» удается достичь в 84%  и 66% случа</w:t>
      </w:r>
      <w:r w:rsidRPr="00A11646">
        <w:rPr>
          <w:color w:val="auto"/>
          <w:lang w:val="uz-Cyrl-UZ"/>
        </w:rPr>
        <w:t>е</w:t>
      </w:r>
      <w:r w:rsidRPr="00A11646">
        <w:rPr>
          <w:color w:val="auto"/>
        </w:rPr>
        <w:t xml:space="preserve">в, при «PAD»  в  95% и 29% случаев соответственно [67, с. 303-309; 94, с. 2569-74;  118, с. 520-522]. </w:t>
      </w:r>
    </w:p>
    <w:p w:rsidR="00D754DD" w:rsidRPr="00A11646" w:rsidRDefault="00D754DD" w:rsidP="00D754DD">
      <w:pPr>
        <w:pStyle w:val="a3"/>
        <w:spacing w:line="360" w:lineRule="auto"/>
        <w:ind w:firstLine="709"/>
        <w:jc w:val="both"/>
        <w:rPr>
          <w:color w:val="auto"/>
        </w:rPr>
      </w:pPr>
      <w:r w:rsidRPr="00A11646">
        <w:rPr>
          <w:color w:val="auto"/>
        </w:rPr>
        <w:t xml:space="preserve">В настоящее время не прекращаются исследования в плане изучения эффективности сочетанного применения бортезомиба с  другими таргетными препаратами (леналомид, помалидомид, талидомид) [30, с.1311-1320; 59, с. 244-250; 109, с. 1922-1927; 110, с. 2946-2955], с ингибиторами протеосом нового поколения (карфилзомиб, иксазомиб) [36, с. С. 1-10; 52, с. С. 1327-1337] и совершенно новым классом препаратов группы «моноклональных антител» (даратумумаб, изатуксимаб, элотузумаб)  в лечении различных форм ММ [32, с. 1347-1353.; 53, с. 896-905]. </w:t>
      </w:r>
    </w:p>
    <w:p w:rsidR="00D754DD" w:rsidRPr="00A11646" w:rsidRDefault="00D754DD" w:rsidP="00D754DD">
      <w:pPr>
        <w:pStyle w:val="a3"/>
        <w:spacing w:line="360" w:lineRule="auto"/>
        <w:ind w:firstLine="709"/>
        <w:jc w:val="both"/>
        <w:rPr>
          <w:color w:val="auto"/>
        </w:rPr>
      </w:pPr>
      <w:r w:rsidRPr="00A11646">
        <w:rPr>
          <w:color w:val="auto"/>
        </w:rPr>
        <w:t>Так,</w:t>
      </w:r>
      <w:r w:rsidR="001E3562">
        <w:rPr>
          <w:color w:val="auto"/>
          <w:lang w:val="uz-Cyrl-UZ"/>
        </w:rPr>
        <w:t xml:space="preserve"> по </w:t>
      </w:r>
      <w:r w:rsidRPr="00A11646">
        <w:rPr>
          <w:color w:val="auto"/>
          <w:lang w:val="uz-Cyrl-UZ"/>
        </w:rPr>
        <w:t xml:space="preserve">данным </w:t>
      </w:r>
      <w:r w:rsidRPr="00A11646">
        <w:rPr>
          <w:color w:val="auto"/>
        </w:rPr>
        <w:t xml:space="preserve">британских ученых </w:t>
      </w:r>
      <w:r w:rsidRPr="00A11646">
        <w:rPr>
          <w:color w:val="auto"/>
          <w:lang w:val="en-US"/>
        </w:rPr>
        <w:t>V</w:t>
      </w:r>
      <w:r w:rsidRPr="00A11646">
        <w:rPr>
          <w:color w:val="auto"/>
        </w:rPr>
        <w:t xml:space="preserve">. </w:t>
      </w:r>
      <w:r w:rsidRPr="00A11646">
        <w:rPr>
          <w:color w:val="auto"/>
          <w:lang w:val="en-US"/>
        </w:rPr>
        <w:t>Attal</w:t>
      </w:r>
      <w:r w:rsidR="00A9422A">
        <w:rPr>
          <w:color w:val="auto"/>
          <w:lang w:val="uz-Cyrl-UZ"/>
        </w:rPr>
        <w:t xml:space="preserve"> </w:t>
      </w:r>
      <w:r w:rsidRPr="00A11646">
        <w:rPr>
          <w:color w:val="auto"/>
          <w:lang w:val="en-US"/>
        </w:rPr>
        <w:t>et</w:t>
      </w:r>
      <w:r w:rsidR="00A9422A">
        <w:rPr>
          <w:color w:val="auto"/>
          <w:lang w:val="uz-Cyrl-UZ"/>
        </w:rPr>
        <w:t xml:space="preserve"> </w:t>
      </w:r>
      <w:r w:rsidRPr="00A11646">
        <w:rPr>
          <w:color w:val="auto"/>
          <w:lang w:val="en-US"/>
        </w:rPr>
        <w:t>al</w:t>
      </w:r>
      <w:r w:rsidRPr="00A11646">
        <w:rPr>
          <w:color w:val="auto"/>
        </w:rPr>
        <w:t xml:space="preserve">. (2017) при использовании протокола «VRD» (бортезомиб, леналидомид и дексаметазон) полный ответ на лечение регистрируется в  46% случаев, при этом 3-х летняя ОВ составляет 88% [30, с. 1311-1320.]. </w:t>
      </w:r>
    </w:p>
    <w:p w:rsidR="00D754DD" w:rsidRPr="00A11646" w:rsidRDefault="00D754DD" w:rsidP="00D754DD">
      <w:pPr>
        <w:pStyle w:val="a3"/>
        <w:spacing w:line="360" w:lineRule="auto"/>
        <w:ind w:firstLine="709"/>
        <w:jc w:val="both"/>
        <w:rPr>
          <w:color w:val="auto"/>
        </w:rPr>
      </w:pPr>
      <w:r w:rsidRPr="00A11646">
        <w:rPr>
          <w:color w:val="auto"/>
        </w:rPr>
        <w:t>В исследованиях S. Brown</w:t>
      </w:r>
      <w:r w:rsidRPr="00A11646">
        <w:rPr>
          <w:color w:val="auto"/>
          <w:lang w:val="en-US"/>
        </w:rPr>
        <w:t>etal</w:t>
      </w:r>
      <w:r w:rsidRPr="00A11646">
        <w:rPr>
          <w:color w:val="auto"/>
        </w:rPr>
        <w:t xml:space="preserve"> (2016) и  </w:t>
      </w:r>
      <w:r w:rsidRPr="00A11646">
        <w:rPr>
          <w:color w:val="auto"/>
          <w:lang w:val="en-US"/>
        </w:rPr>
        <w:t>V</w:t>
      </w:r>
      <w:r w:rsidRPr="00A11646">
        <w:rPr>
          <w:color w:val="auto"/>
        </w:rPr>
        <w:t xml:space="preserve">. </w:t>
      </w:r>
      <w:r w:rsidRPr="00A11646">
        <w:rPr>
          <w:color w:val="auto"/>
          <w:lang w:val="en-US"/>
        </w:rPr>
        <w:t>Bhatnagar</w:t>
      </w:r>
      <w:r w:rsidR="00A9422A">
        <w:rPr>
          <w:color w:val="auto"/>
          <w:lang w:val="uz-Cyrl-UZ"/>
        </w:rPr>
        <w:t xml:space="preserve"> </w:t>
      </w:r>
      <w:r w:rsidRPr="00A11646">
        <w:rPr>
          <w:color w:val="auto"/>
          <w:lang w:val="en-US"/>
        </w:rPr>
        <w:t>et</w:t>
      </w:r>
      <w:r w:rsidR="00A9422A">
        <w:rPr>
          <w:color w:val="auto"/>
          <w:lang w:val="uz-Cyrl-UZ"/>
        </w:rPr>
        <w:t xml:space="preserve"> </w:t>
      </w:r>
      <w:r w:rsidRPr="00A11646">
        <w:rPr>
          <w:color w:val="auto"/>
          <w:lang w:val="en-US"/>
        </w:rPr>
        <w:t>al</w:t>
      </w:r>
      <w:r w:rsidRPr="00A11646">
        <w:rPr>
          <w:color w:val="auto"/>
        </w:rPr>
        <w:t xml:space="preserve">. (2017) показано, что  применение новых протоколов лечения с включением карфилзомиба и даратумумаба привело к увеличению  ОВ в 2 раза, а 5-ти летней ОВ до до 39-56% [32, с. 1347-1353; 36, с. С.1-10]. </w:t>
      </w:r>
    </w:p>
    <w:p w:rsidR="00D754DD" w:rsidRPr="00A11646" w:rsidRDefault="00D754DD" w:rsidP="00D754DD">
      <w:pPr>
        <w:pStyle w:val="a3"/>
        <w:spacing w:line="360" w:lineRule="auto"/>
        <w:ind w:firstLine="709"/>
        <w:jc w:val="both"/>
        <w:rPr>
          <w:color w:val="auto"/>
        </w:rPr>
      </w:pPr>
      <w:bookmarkStart w:id="24" w:name="_Hlk8230803"/>
      <w:bookmarkStart w:id="25" w:name="_Hlk20913551"/>
      <w:r w:rsidRPr="00A11646">
        <w:rPr>
          <w:color w:val="auto"/>
        </w:rPr>
        <w:t xml:space="preserve">За последние годы накапливаются и результаты лечения с внедрением в схемы лечения ММ трансплантации гемопоэтических стволовых клеток (ТГСК), в частности аутоТГСК. Многочисленные исследования по применению высокодозной ПХТ с последующей аутоТГСК показали высокую их эффективность среди больных с рецидивирующими и резистентными формами ММ [58, с. 1127-1734; 61, с. 207-238; 93, с. 732-41; 95, с. 1449-1455]. </w:t>
      </w:r>
    </w:p>
    <w:bookmarkEnd w:id="24"/>
    <w:p w:rsidR="00D754DD" w:rsidRPr="00A11646" w:rsidRDefault="00D754DD" w:rsidP="00D754DD">
      <w:pPr>
        <w:pStyle w:val="a3"/>
        <w:spacing w:line="360" w:lineRule="auto"/>
        <w:ind w:firstLine="709"/>
        <w:jc w:val="both"/>
        <w:rPr>
          <w:color w:val="auto"/>
        </w:rPr>
      </w:pPr>
      <w:r w:rsidRPr="00A11646">
        <w:rPr>
          <w:color w:val="auto"/>
          <w:lang w:val="uz-Cyrl-UZ"/>
        </w:rPr>
        <w:lastRenderedPageBreak/>
        <w:t>В литературе приводятся данные о том, что</w:t>
      </w:r>
      <w:r w:rsidR="00CA4766">
        <w:rPr>
          <w:color w:val="auto"/>
          <w:lang w:val="uz-Cyrl-UZ"/>
        </w:rPr>
        <w:t xml:space="preserve"> </w:t>
      </w:r>
      <w:r w:rsidRPr="00A11646">
        <w:rPr>
          <w:color w:val="auto"/>
        </w:rPr>
        <w:t>Intergroupe</w:t>
      </w:r>
      <w:r w:rsidR="00CA4766">
        <w:rPr>
          <w:color w:val="auto"/>
          <w:lang w:val="uz-Cyrl-UZ"/>
        </w:rPr>
        <w:t xml:space="preserve"> </w:t>
      </w:r>
      <w:r w:rsidRPr="00A11646">
        <w:rPr>
          <w:color w:val="auto"/>
        </w:rPr>
        <w:t>Francophonedu</w:t>
      </w:r>
      <w:r w:rsidR="00CA4766">
        <w:rPr>
          <w:color w:val="auto"/>
          <w:lang w:val="uz-Cyrl-UZ"/>
        </w:rPr>
        <w:t xml:space="preserve"> </w:t>
      </w:r>
      <w:r w:rsidRPr="00A11646">
        <w:rPr>
          <w:color w:val="auto"/>
        </w:rPr>
        <w:t>Myelome (IFM</w:t>
      </w:r>
      <w:r w:rsidRPr="00A11646">
        <w:rPr>
          <w:color w:val="auto"/>
          <w:lang w:val="uz-Cyrl-UZ"/>
        </w:rPr>
        <w:t>, 1990</w:t>
      </w:r>
      <w:r w:rsidRPr="00A11646">
        <w:rPr>
          <w:color w:val="auto"/>
        </w:rPr>
        <w:t xml:space="preserve">) впервые провела исследование, сравнивающее результаты стандартной ПХТ и ПХТ+утоТГСК у 200 больных ММ. Результаты исследования показали, что в группе больных с применением стандартной ПХТ+аутоТГСК, получены достоверно наиболее лучшие показатели. Так частота полной ремиссии, БРВ и ОВ оказались в 4,4 (22% против 5 %), 1,6 (28 месяцев против 18 месяцев) и 1,3 (медиана 57 месяцев против 44 месяцев) раза выше, в отношении к больным без аутоТГСК [12, с. 7-11; 92, с. 3269-3271]. </w:t>
      </w:r>
    </w:p>
    <w:bookmarkEnd w:id="25"/>
    <w:p w:rsidR="00D754DD" w:rsidRPr="00A11646" w:rsidRDefault="00D754DD" w:rsidP="00D754DD">
      <w:pPr>
        <w:pStyle w:val="a3"/>
        <w:spacing w:line="360" w:lineRule="auto"/>
        <w:ind w:firstLine="709"/>
        <w:jc w:val="both"/>
        <w:rPr>
          <w:color w:val="auto"/>
        </w:rPr>
      </w:pPr>
      <w:r w:rsidRPr="00A11646">
        <w:rPr>
          <w:color w:val="auto"/>
        </w:rPr>
        <w:t xml:space="preserve">Результаты других многоцентровых исследований (2003 - 2004), показали большую эффективность высокодозной ПХТ по отношению к с стандартной ПХТ. Так, исследование MCR VII проведенное среди  407 первичных больных в возрасте до 65 лет показало преимущество высокодозной ПХТ у больных с высоким риском [11, с.14-20.]. </w:t>
      </w:r>
    </w:p>
    <w:p w:rsidR="00D754DD" w:rsidRPr="00A11646" w:rsidRDefault="00D754DD" w:rsidP="00D754DD">
      <w:pPr>
        <w:pStyle w:val="a3"/>
        <w:spacing w:line="360" w:lineRule="auto"/>
        <w:ind w:firstLine="709"/>
        <w:jc w:val="both"/>
        <w:rPr>
          <w:color w:val="auto"/>
        </w:rPr>
      </w:pPr>
      <w:bookmarkStart w:id="26" w:name="_Hlk20913649"/>
      <w:r w:rsidRPr="00A11646">
        <w:rPr>
          <w:color w:val="auto"/>
        </w:rPr>
        <w:t xml:space="preserve">Результаты французских и британских проспективных рандомизированных исследований показали, что применение аутоТГСК   увеличивает частоту полных ремиссий БРВ и ОВ больных с ММ [30, с. 1311-1320].  </w:t>
      </w:r>
    </w:p>
    <w:bookmarkEnd w:id="26"/>
    <w:p w:rsidR="00D754DD" w:rsidRPr="00A11646" w:rsidRDefault="00D754DD" w:rsidP="00D754DD">
      <w:pPr>
        <w:pStyle w:val="a3"/>
        <w:spacing w:line="360" w:lineRule="auto"/>
        <w:ind w:firstLine="709"/>
        <w:jc w:val="both"/>
        <w:rPr>
          <w:color w:val="auto"/>
        </w:rPr>
      </w:pPr>
      <w:r w:rsidRPr="00A11646">
        <w:rPr>
          <w:color w:val="auto"/>
        </w:rPr>
        <w:t xml:space="preserve">Наряду с этим имеются исследования американских, французских и испанских ученых не отметившие преимущества в эффективности проведения аутоТГСК в сравнении со стандартной ПХТ [33, с. С. 3805-3812; 108, с. 410-412;] В    результате проведенного исследования ученые не выявили разницу в частоте полных ремиссий после аутоТГСК в отношении к стандартной ПХТ, что возможно было связано с тем, что </w:t>
      </w:r>
      <w:r w:rsidR="001E3562">
        <w:rPr>
          <w:color w:val="auto"/>
          <w:lang w:val="uz-Cyrl-UZ"/>
        </w:rPr>
        <w:t xml:space="preserve">в </w:t>
      </w:r>
      <w:r w:rsidRPr="00A11646">
        <w:rPr>
          <w:color w:val="auto"/>
        </w:rPr>
        <w:t xml:space="preserve">исследование включены были </w:t>
      </w:r>
      <w:r w:rsidR="007D197B" w:rsidRPr="00A11646">
        <w:rPr>
          <w:color w:val="auto"/>
        </w:rPr>
        <w:t>больные</w:t>
      </w:r>
      <w:r w:rsidR="00A9422A">
        <w:rPr>
          <w:color w:val="auto"/>
          <w:lang w:val="uz-Cyrl-UZ"/>
        </w:rPr>
        <w:t xml:space="preserve"> </w:t>
      </w:r>
      <w:r w:rsidRPr="00A11646">
        <w:rPr>
          <w:color w:val="auto"/>
        </w:rPr>
        <w:t>не ответившие на стандартную терапию и использован режим кондиционирования включал 140  мг/м</w:t>
      </w:r>
      <w:r w:rsidRPr="00A11646">
        <w:rPr>
          <w:color w:val="auto"/>
          <w:vertAlign w:val="superscript"/>
        </w:rPr>
        <w:t>2</w:t>
      </w:r>
      <w:r w:rsidRPr="00A11646">
        <w:rPr>
          <w:color w:val="auto"/>
        </w:rPr>
        <w:t xml:space="preserve">мелфалана с тотальным облучением тела (ТОТ), который в настоящее время не применяется [11, с.14-20]. </w:t>
      </w:r>
    </w:p>
    <w:p w:rsidR="00D754DD" w:rsidRPr="00A11646" w:rsidRDefault="00D754DD" w:rsidP="00D754DD">
      <w:pPr>
        <w:pStyle w:val="a3"/>
        <w:spacing w:line="360" w:lineRule="auto"/>
        <w:ind w:firstLine="709"/>
        <w:jc w:val="both"/>
        <w:rPr>
          <w:color w:val="auto"/>
        </w:rPr>
      </w:pPr>
      <w:r w:rsidRPr="00A11646">
        <w:rPr>
          <w:color w:val="auto"/>
        </w:rPr>
        <w:t xml:space="preserve">В настоящее время </w:t>
      </w:r>
      <w:r w:rsidRPr="00A11646">
        <w:rPr>
          <w:color w:val="auto"/>
          <w:lang w:val="uz-Cyrl-UZ"/>
        </w:rPr>
        <w:t xml:space="preserve">существуют противоречивые результаты и </w:t>
      </w:r>
      <w:r w:rsidRPr="00A11646">
        <w:rPr>
          <w:color w:val="auto"/>
        </w:rPr>
        <w:t xml:space="preserve">мнения об эффективности применения одной или тандемной аутоТГСК. </w:t>
      </w:r>
      <w:r w:rsidRPr="00A11646">
        <w:rPr>
          <w:color w:val="auto"/>
        </w:rPr>
        <w:lastRenderedPageBreak/>
        <w:t>Однако, все же результаты исследований последних лет частота полных ремиссий после применения одной аутоТГСК составляет 25–35 %, в то время как после тандемной аутоТГСК этот показатель доходит до 35–50 % [95, с. 1449-1455].</w:t>
      </w:r>
    </w:p>
    <w:p w:rsidR="00D754DD" w:rsidRPr="00A11646" w:rsidRDefault="00D754DD" w:rsidP="00D754DD">
      <w:pPr>
        <w:pStyle w:val="a3"/>
        <w:spacing w:line="360" w:lineRule="auto"/>
        <w:ind w:firstLine="709"/>
        <w:jc w:val="both"/>
        <w:rPr>
          <w:color w:val="auto"/>
        </w:rPr>
      </w:pPr>
      <w:r w:rsidRPr="00A11646">
        <w:rPr>
          <w:color w:val="auto"/>
        </w:rPr>
        <w:t>Обобщая вышеприведенные данные, можно отметить, что в настоящее время нет какой-либо единой схемы лечения ММ. Высокодозная ПХТ способствующая на</w:t>
      </w:r>
      <w:r w:rsidR="007D197B">
        <w:rPr>
          <w:color w:val="auto"/>
          <w:lang w:val="uz-Cyrl-UZ"/>
        </w:rPr>
        <w:t xml:space="preserve"> </w:t>
      </w:r>
      <w:r w:rsidRPr="00A11646">
        <w:rPr>
          <w:color w:val="auto"/>
        </w:rPr>
        <w:t xml:space="preserve">много увеличить полный ответ на лечение и медиану ОВ больных ММ является приемлемой у пациентов моложе 60 лет, тогда как у больных более 60 лет ее применение чревато с опасными для жизни </w:t>
      </w:r>
      <w:r w:rsidR="00A9422A" w:rsidRPr="00A11646">
        <w:rPr>
          <w:color w:val="auto"/>
        </w:rPr>
        <w:t>осложнениями,</w:t>
      </w:r>
      <w:r w:rsidRPr="00A11646">
        <w:rPr>
          <w:color w:val="auto"/>
        </w:rPr>
        <w:t xml:space="preserve"> вызывающимися высокой токсичностью препаратов [107, с. 700-704]. Вместе с этим эффективность проведенной терапии оценивается на основании критериев  по уровню состояния показателей костного мозга (плазматические клетки менее 5%), периферической крови (гемоглобин более 90 г/л, тромбоцитов 150 Х 10</w:t>
      </w:r>
      <w:r w:rsidRPr="00A11646">
        <w:rPr>
          <w:color w:val="auto"/>
          <w:vertAlign w:val="superscript"/>
        </w:rPr>
        <w:t>9</w:t>
      </w:r>
      <w:r w:rsidRPr="00A11646">
        <w:rPr>
          <w:color w:val="auto"/>
        </w:rPr>
        <w:t>/л и более, СОЭ 20 мм/ч), биохимического анализа крови (общий белок менее 90 г/л,   альбумин более 30 г/л, кальция ниже 3 ммоль/л, креатинина 88</w:t>
      </w:r>
      <w:r w:rsidR="00A9422A">
        <w:rPr>
          <w:color w:val="auto"/>
          <w:lang w:val="uz-Cyrl-UZ"/>
        </w:rPr>
        <w:t xml:space="preserve"> </w:t>
      </w:r>
      <w:r w:rsidRPr="00A11646">
        <w:rPr>
          <w:color w:val="auto"/>
        </w:rPr>
        <w:t xml:space="preserve">мкмоль/л и менее), отсутствие новых очагов остеодеструкции (табл. 1.3.1.) [34, с. 371-378; 43, с.  392-398; </w:t>
      </w:r>
      <w:bookmarkStart w:id="27" w:name="_Hlk8233430"/>
      <w:r w:rsidRPr="00A11646">
        <w:rPr>
          <w:color w:val="auto"/>
        </w:rPr>
        <w:t>70, с. 1467-1473</w:t>
      </w:r>
      <w:bookmarkEnd w:id="27"/>
      <w:r w:rsidRPr="00A11646">
        <w:rPr>
          <w:color w:val="auto"/>
        </w:rPr>
        <w:t xml:space="preserve">]. </w:t>
      </w: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CA4766" w:rsidRDefault="00CA4766" w:rsidP="00D754DD">
      <w:pPr>
        <w:pStyle w:val="a3"/>
        <w:spacing w:line="360" w:lineRule="auto"/>
        <w:ind w:firstLine="708"/>
        <w:jc w:val="right"/>
        <w:rPr>
          <w:b/>
          <w:color w:val="auto"/>
          <w:lang w:val="uz-Cyrl-UZ"/>
        </w:rPr>
      </w:pPr>
    </w:p>
    <w:p w:rsidR="007D197B" w:rsidRDefault="007D197B" w:rsidP="00D754DD">
      <w:pPr>
        <w:pStyle w:val="a3"/>
        <w:spacing w:line="360" w:lineRule="auto"/>
        <w:ind w:firstLine="708"/>
        <w:jc w:val="right"/>
        <w:rPr>
          <w:b/>
          <w:color w:val="auto"/>
          <w:lang w:val="uz-Cyrl-UZ"/>
        </w:rPr>
      </w:pPr>
    </w:p>
    <w:p w:rsidR="007D197B" w:rsidRDefault="007D197B" w:rsidP="00D754DD">
      <w:pPr>
        <w:pStyle w:val="a3"/>
        <w:spacing w:line="360" w:lineRule="auto"/>
        <w:ind w:firstLine="708"/>
        <w:jc w:val="right"/>
        <w:rPr>
          <w:b/>
          <w:color w:val="auto"/>
          <w:lang w:val="uz-Cyrl-UZ"/>
        </w:rPr>
      </w:pPr>
    </w:p>
    <w:p w:rsidR="00D754DD" w:rsidRPr="00A11646" w:rsidRDefault="00D754DD" w:rsidP="00D754DD">
      <w:pPr>
        <w:pStyle w:val="a3"/>
        <w:spacing w:line="360" w:lineRule="auto"/>
        <w:ind w:firstLine="708"/>
        <w:jc w:val="right"/>
        <w:rPr>
          <w:b/>
          <w:color w:val="auto"/>
        </w:rPr>
      </w:pPr>
      <w:r w:rsidRPr="00A11646">
        <w:rPr>
          <w:b/>
          <w:color w:val="auto"/>
        </w:rPr>
        <w:lastRenderedPageBreak/>
        <w:t>Таблица 1.3.1.</w:t>
      </w:r>
    </w:p>
    <w:p w:rsidR="00D754DD" w:rsidRPr="00A11646" w:rsidRDefault="00D754DD" w:rsidP="00D754DD">
      <w:pPr>
        <w:pStyle w:val="a3"/>
        <w:spacing w:line="360" w:lineRule="auto"/>
        <w:ind w:firstLine="708"/>
        <w:jc w:val="center"/>
        <w:rPr>
          <w:b/>
          <w:color w:val="auto"/>
        </w:rPr>
      </w:pPr>
      <w:r w:rsidRPr="00A11646">
        <w:rPr>
          <w:b/>
          <w:color w:val="auto"/>
        </w:rPr>
        <w:t>Оценка эффективности лечения ММ, по критериям Eвропейской группы трансплантации костного мозга (2006).</w:t>
      </w:r>
    </w:p>
    <w:tbl>
      <w:tblPr>
        <w:tblStyle w:val="a6"/>
        <w:tblW w:w="0" w:type="auto"/>
        <w:tblLook w:val="04A0"/>
      </w:tblPr>
      <w:tblGrid>
        <w:gridCol w:w="760"/>
        <w:gridCol w:w="1972"/>
        <w:gridCol w:w="6555"/>
      </w:tblGrid>
      <w:tr w:rsidR="00A11646" w:rsidRPr="00A11646" w:rsidTr="00C328C9">
        <w:tc>
          <w:tcPr>
            <w:tcW w:w="808" w:type="dxa"/>
          </w:tcPr>
          <w:p w:rsidR="00D754DD" w:rsidRPr="00A11646" w:rsidRDefault="00D754DD" w:rsidP="00C328C9">
            <w:pPr>
              <w:pStyle w:val="a3"/>
              <w:spacing w:line="360" w:lineRule="auto"/>
              <w:jc w:val="center"/>
              <w:rPr>
                <w:color w:val="auto"/>
              </w:rPr>
            </w:pPr>
            <w:r w:rsidRPr="00A11646">
              <w:rPr>
                <w:color w:val="auto"/>
              </w:rPr>
              <w:t>№</w:t>
            </w:r>
          </w:p>
        </w:tc>
        <w:tc>
          <w:tcPr>
            <w:tcW w:w="1972" w:type="dxa"/>
          </w:tcPr>
          <w:p w:rsidR="00D754DD" w:rsidRPr="00A11646" w:rsidRDefault="00D754DD" w:rsidP="00C328C9">
            <w:pPr>
              <w:spacing w:line="360" w:lineRule="auto"/>
              <w:jc w:val="center"/>
              <w:rPr>
                <w:rFonts w:ascii="Times New Roman" w:hAnsi="Times New Roman"/>
                <w:sz w:val="28"/>
                <w:szCs w:val="28"/>
              </w:rPr>
            </w:pPr>
            <w:r w:rsidRPr="00A11646">
              <w:rPr>
                <w:rFonts w:ascii="Times New Roman" w:hAnsi="Times New Roman"/>
                <w:sz w:val="28"/>
                <w:szCs w:val="28"/>
              </w:rPr>
              <w:t>Ответ</w:t>
            </w:r>
          </w:p>
        </w:tc>
        <w:tc>
          <w:tcPr>
            <w:tcW w:w="7125" w:type="dxa"/>
          </w:tcPr>
          <w:p w:rsidR="00D754DD" w:rsidRPr="00A11646" w:rsidRDefault="00D754DD" w:rsidP="00C328C9">
            <w:pPr>
              <w:spacing w:line="360" w:lineRule="auto"/>
              <w:jc w:val="center"/>
              <w:rPr>
                <w:rFonts w:ascii="Times New Roman" w:hAnsi="Times New Roman"/>
                <w:sz w:val="28"/>
                <w:szCs w:val="28"/>
              </w:rPr>
            </w:pPr>
            <w:r w:rsidRPr="00A11646">
              <w:rPr>
                <w:rFonts w:ascii="Times New Roman" w:hAnsi="Times New Roman"/>
                <w:sz w:val="28"/>
                <w:szCs w:val="28"/>
              </w:rPr>
              <w:t xml:space="preserve">  Критерии ответа</w:t>
            </w:r>
          </w:p>
        </w:tc>
      </w:tr>
      <w:tr w:rsidR="00A11646" w:rsidRPr="00A11646" w:rsidTr="00C328C9">
        <w:tc>
          <w:tcPr>
            <w:tcW w:w="808" w:type="dxa"/>
          </w:tcPr>
          <w:p w:rsidR="00D754DD" w:rsidRPr="00A11646" w:rsidRDefault="00D754DD" w:rsidP="00C328C9">
            <w:pPr>
              <w:pStyle w:val="a3"/>
              <w:spacing w:line="360" w:lineRule="auto"/>
              <w:jc w:val="center"/>
              <w:rPr>
                <w:color w:val="auto"/>
              </w:rPr>
            </w:pPr>
            <w:r w:rsidRPr="00A11646">
              <w:rPr>
                <w:color w:val="auto"/>
              </w:rPr>
              <w:t>1</w:t>
            </w:r>
          </w:p>
        </w:tc>
        <w:tc>
          <w:tcPr>
            <w:tcW w:w="1972"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 xml:space="preserve">Полный ответ (ПО) </w:t>
            </w:r>
          </w:p>
        </w:tc>
        <w:tc>
          <w:tcPr>
            <w:tcW w:w="7125"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 xml:space="preserve">Негативный результат иммунофиксации сыворотки и мочи, исчезновение любой мягкотканой плазмоцитомы, &lt;5% плазматических клеток в КМ. У больных, у которых заболевание измерялось только уровнем СЛЦ в сыворотке, для ПО требуется нормальное соотношение СЛЦ (0,26-1,65). Для подтверждения ПО необходимы два последовательных исследования </w:t>
            </w:r>
          </w:p>
        </w:tc>
      </w:tr>
      <w:tr w:rsidR="00A11646" w:rsidRPr="00A11646" w:rsidTr="00C328C9">
        <w:tc>
          <w:tcPr>
            <w:tcW w:w="808" w:type="dxa"/>
          </w:tcPr>
          <w:p w:rsidR="00D754DD" w:rsidRPr="00A11646" w:rsidRDefault="00D754DD" w:rsidP="00C328C9">
            <w:pPr>
              <w:pStyle w:val="a3"/>
              <w:spacing w:line="360" w:lineRule="auto"/>
              <w:jc w:val="center"/>
              <w:rPr>
                <w:color w:val="auto"/>
              </w:rPr>
            </w:pPr>
            <w:r w:rsidRPr="00A11646">
              <w:rPr>
                <w:color w:val="auto"/>
              </w:rPr>
              <w:t>2</w:t>
            </w:r>
          </w:p>
        </w:tc>
        <w:tc>
          <w:tcPr>
            <w:tcW w:w="1972"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 xml:space="preserve">Строгий полный ответ (сПО) </w:t>
            </w:r>
          </w:p>
        </w:tc>
        <w:tc>
          <w:tcPr>
            <w:tcW w:w="7125"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 xml:space="preserve">  ПО, как определено выше, плюс нормальное соотношение СЛЦ и отсутствие клональных плазматических клеток при иммуногистохимическом исследовании или при 2-4-цветной проточной цитометрии (два последовательных исследования лабораторных параметров).</w:t>
            </w:r>
          </w:p>
        </w:tc>
      </w:tr>
      <w:tr w:rsidR="00A11646" w:rsidRPr="00A11646" w:rsidTr="00C328C9">
        <w:tc>
          <w:tcPr>
            <w:tcW w:w="808" w:type="dxa"/>
          </w:tcPr>
          <w:p w:rsidR="00D754DD" w:rsidRPr="00A11646" w:rsidRDefault="00D754DD" w:rsidP="00C328C9">
            <w:pPr>
              <w:pStyle w:val="a3"/>
              <w:spacing w:line="360" w:lineRule="auto"/>
              <w:jc w:val="center"/>
              <w:rPr>
                <w:color w:val="auto"/>
              </w:rPr>
            </w:pPr>
            <w:r w:rsidRPr="00A11646">
              <w:rPr>
                <w:color w:val="auto"/>
              </w:rPr>
              <w:t>3</w:t>
            </w:r>
          </w:p>
        </w:tc>
        <w:tc>
          <w:tcPr>
            <w:tcW w:w="1972"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Очень хороший частичный ответ (ОХЧО)</w:t>
            </w:r>
          </w:p>
        </w:tc>
        <w:tc>
          <w:tcPr>
            <w:tcW w:w="7125"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 xml:space="preserve">М-компонент сыворотки и мочи определяется при иммунофиксации, но не при электрофорезе, </w:t>
            </w:r>
            <w:r w:rsidR="007D197B">
              <w:rPr>
                <w:rFonts w:ascii="Times New Roman" w:hAnsi="Times New Roman"/>
                <w:sz w:val="28"/>
                <w:szCs w:val="28"/>
                <w:lang w:val="uz-Cyrl-UZ"/>
              </w:rPr>
              <w:t>и</w:t>
            </w:r>
            <w:r w:rsidRPr="00A11646">
              <w:rPr>
                <w:rFonts w:ascii="Times New Roman" w:hAnsi="Times New Roman"/>
                <w:sz w:val="28"/>
                <w:szCs w:val="28"/>
              </w:rPr>
              <w:t>ли уменьшение М-компонента сыворотки и мочи &gt; 90% плюс М-компонент мочи &lt; 100 мг/24ч. У пациентов, у которых заболевание измерялось только уровнем СЛЦ в сыворотке, в дополнение к критериям ОХЧО требуется снижение &gt;90% в разнице между уровнями вовлеченных и не вовлеченных СЛЦ (два последовательных исследования лабораторных параметров).</w:t>
            </w:r>
          </w:p>
          <w:p w:rsidR="00D754DD" w:rsidRPr="00A11646" w:rsidRDefault="00D754DD" w:rsidP="00C328C9">
            <w:pPr>
              <w:spacing w:line="360" w:lineRule="auto"/>
              <w:jc w:val="both"/>
              <w:rPr>
                <w:rFonts w:ascii="Times New Roman" w:hAnsi="Times New Roman"/>
                <w:sz w:val="28"/>
                <w:szCs w:val="28"/>
              </w:rPr>
            </w:pPr>
          </w:p>
        </w:tc>
      </w:tr>
      <w:tr w:rsidR="00A11646" w:rsidRPr="00A11646" w:rsidTr="00C328C9">
        <w:tc>
          <w:tcPr>
            <w:tcW w:w="808" w:type="dxa"/>
          </w:tcPr>
          <w:p w:rsidR="00D754DD" w:rsidRPr="00A11646" w:rsidRDefault="00D754DD" w:rsidP="00C328C9">
            <w:pPr>
              <w:pStyle w:val="a3"/>
              <w:spacing w:line="360" w:lineRule="auto"/>
              <w:jc w:val="center"/>
              <w:rPr>
                <w:color w:val="auto"/>
              </w:rPr>
            </w:pPr>
            <w:r w:rsidRPr="00A11646">
              <w:rPr>
                <w:color w:val="auto"/>
              </w:rPr>
              <w:lastRenderedPageBreak/>
              <w:t>4</w:t>
            </w:r>
          </w:p>
        </w:tc>
        <w:tc>
          <w:tcPr>
            <w:tcW w:w="1972"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Частичный ответ (ЧО)</w:t>
            </w:r>
          </w:p>
        </w:tc>
        <w:tc>
          <w:tcPr>
            <w:tcW w:w="7125" w:type="dxa"/>
          </w:tcPr>
          <w:p w:rsidR="00D754DD" w:rsidRPr="00A11646" w:rsidRDefault="00D754DD" w:rsidP="00C328C9">
            <w:pPr>
              <w:spacing w:line="360" w:lineRule="auto"/>
              <w:jc w:val="both"/>
              <w:rPr>
                <w:rFonts w:ascii="Times New Roman" w:hAnsi="Times New Roman"/>
                <w:sz w:val="28"/>
                <w:szCs w:val="28"/>
              </w:rPr>
            </w:pPr>
            <w:r w:rsidRPr="00A11646">
              <w:rPr>
                <w:rFonts w:ascii="Times New Roman" w:hAnsi="Times New Roman"/>
                <w:sz w:val="28"/>
                <w:szCs w:val="28"/>
              </w:rPr>
              <w:t>Снижение сывороточного М-протеина &gt;50% и снижение М-протеина в сточной моче на &gt;90% или до &lt; 200 мг/24ч. Если М-протеин в сыворотке и моче не определяется, требуется снижение на &gt;50% в разнице между уровнями вовлеченных и не вовлеченных СЛЦ вместо критериев М-протеина. Если М-протеин сыворотки и мочи, а также СЛЦ сыворотки не определяются, необходимо уменьшение в КМ плазматических клеток на &gt;50%, при условии, что в дебюте их было &gt;30%. Дополнительно, если в дебюте отмечались мягкотканые плазмоцитомы, необходимо уменьшение их размера на &gt;50%. Необходимы два последовательных исследования. Отсутствие признаков прогрессирования или новых костных повреждений при радиографическом исследовании.</w:t>
            </w:r>
          </w:p>
        </w:tc>
      </w:tr>
      <w:tr w:rsidR="00A11646" w:rsidRPr="00A11646" w:rsidTr="00C328C9">
        <w:tc>
          <w:tcPr>
            <w:tcW w:w="808" w:type="dxa"/>
          </w:tcPr>
          <w:p w:rsidR="00D754DD" w:rsidRPr="00A11646" w:rsidRDefault="00D754DD" w:rsidP="00C328C9">
            <w:pPr>
              <w:pStyle w:val="a3"/>
              <w:spacing w:line="360" w:lineRule="auto"/>
              <w:jc w:val="center"/>
              <w:rPr>
                <w:color w:val="auto"/>
              </w:rPr>
            </w:pPr>
            <w:r w:rsidRPr="00A11646">
              <w:rPr>
                <w:color w:val="auto"/>
              </w:rPr>
              <w:t>5</w:t>
            </w:r>
          </w:p>
        </w:tc>
        <w:tc>
          <w:tcPr>
            <w:tcW w:w="1972" w:type="dxa"/>
          </w:tcPr>
          <w:p w:rsidR="00D754DD" w:rsidRPr="00A11646" w:rsidRDefault="00D754DD" w:rsidP="00C328C9">
            <w:pPr>
              <w:pStyle w:val="a3"/>
              <w:spacing w:line="360" w:lineRule="auto"/>
              <w:jc w:val="both"/>
              <w:rPr>
                <w:color w:val="auto"/>
              </w:rPr>
            </w:pPr>
            <w:r w:rsidRPr="00A11646">
              <w:rPr>
                <w:color w:val="auto"/>
              </w:rPr>
              <w:t>Минимальный ответ (МО) - только для рецидива рефрактерной ММ</w:t>
            </w:r>
          </w:p>
        </w:tc>
        <w:tc>
          <w:tcPr>
            <w:tcW w:w="7125" w:type="dxa"/>
          </w:tcPr>
          <w:p w:rsidR="00D754DD" w:rsidRPr="00A11646" w:rsidRDefault="00D754DD" w:rsidP="00C328C9">
            <w:pPr>
              <w:pStyle w:val="a3"/>
              <w:spacing w:line="360" w:lineRule="auto"/>
              <w:jc w:val="both"/>
              <w:rPr>
                <w:color w:val="auto"/>
              </w:rPr>
            </w:pPr>
            <w:r w:rsidRPr="00A11646">
              <w:rPr>
                <w:color w:val="auto"/>
              </w:rPr>
              <w:t>Снижение количества сывороточного М-протеина &gt;25%, но &lt;49% и снижение М-протеина в суточной моче на 50-89%. Дополнительно, если в дебюте отмечались мягкотканые плазмоцитомы, необходимо уменьшение их размера на 25-49%. Нет увеличения размеров или количества литических костных повреждений (развитие компрессионных переломов не исключает ответа).</w:t>
            </w:r>
          </w:p>
        </w:tc>
      </w:tr>
    </w:tbl>
    <w:p w:rsidR="00D754DD" w:rsidRPr="00A11646" w:rsidRDefault="00D754DD" w:rsidP="00D754DD">
      <w:pPr>
        <w:pStyle w:val="a3"/>
        <w:spacing w:line="360" w:lineRule="auto"/>
        <w:ind w:firstLine="708"/>
        <w:jc w:val="both"/>
        <w:rPr>
          <w:color w:val="auto"/>
        </w:rPr>
      </w:pPr>
    </w:p>
    <w:p w:rsidR="00D754DD" w:rsidRPr="00A11646" w:rsidRDefault="00D754DD" w:rsidP="00D754DD">
      <w:pPr>
        <w:pStyle w:val="a3"/>
        <w:spacing w:line="360" w:lineRule="auto"/>
        <w:ind w:firstLine="709"/>
        <w:jc w:val="both"/>
        <w:rPr>
          <w:color w:val="auto"/>
        </w:rPr>
      </w:pPr>
      <w:r w:rsidRPr="00A11646">
        <w:rPr>
          <w:color w:val="auto"/>
        </w:rPr>
        <w:t xml:space="preserve">Анализ результатов применения современных протоколов терапии (ПХТ, аутоТГСК) доказывает, что они способствуют увеличению качественной продолжительности жизни больных ММ, однако все же они не приводят к достижению полной ремиссии заболевания и выздоровления </w:t>
      </w:r>
      <w:r w:rsidRPr="00A11646">
        <w:rPr>
          <w:color w:val="auto"/>
        </w:rPr>
        <w:lastRenderedPageBreak/>
        <w:t>больных.  Во многом это связано с неизученностью многих причинных и патогенетических механизмов развития ММ.</w:t>
      </w:r>
    </w:p>
    <w:p w:rsidR="00D754DD" w:rsidRPr="00A11646" w:rsidRDefault="00D754DD" w:rsidP="00D754DD">
      <w:pPr>
        <w:pStyle w:val="a3"/>
        <w:spacing w:line="360" w:lineRule="auto"/>
        <w:ind w:firstLine="709"/>
        <w:jc w:val="both"/>
        <w:rPr>
          <w:color w:val="auto"/>
        </w:rPr>
      </w:pPr>
      <w:bookmarkStart w:id="28" w:name="_Hlk20913720"/>
      <w:r w:rsidRPr="00A11646">
        <w:rPr>
          <w:color w:val="auto"/>
        </w:rPr>
        <w:t xml:space="preserve">Таким образом, ММ является сложным малоизученным заболеванием, проявляющееся разнообразием клинической картины и лабораторных признаков, во многом определяющие его течение и прогноз. </w:t>
      </w:r>
      <w:bookmarkStart w:id="29" w:name="_Hlk20247048"/>
      <w:r w:rsidRPr="00A11646">
        <w:rPr>
          <w:color w:val="auto"/>
        </w:rPr>
        <w:t>Достижения и внедрения новых технологий в области диагностики (определение иммунохимического варианта) и лечения ММ (применение таргетных препаратов в комбинации с аутоТГСК) способствуют своевременно диагностировать заболевание, определить его прогноз и назначить направленное лечение, целью которого является повышение качества жизни больных за счет увеличения медианы БРВ и ОВ</w:t>
      </w:r>
      <w:bookmarkStart w:id="30" w:name="_Hlk8231319"/>
      <w:bookmarkEnd w:id="29"/>
      <w:r w:rsidR="00581F0C">
        <w:rPr>
          <w:color w:val="auto"/>
          <w:lang w:val="uz-Cyrl-UZ"/>
        </w:rPr>
        <w:t xml:space="preserve"> </w:t>
      </w:r>
      <w:r w:rsidRPr="00A11646">
        <w:rPr>
          <w:color w:val="auto"/>
        </w:rPr>
        <w:t>[6, с. 257-262; 15, с. 33-36; 16, с. 25-26]</w:t>
      </w:r>
      <w:bookmarkEnd w:id="30"/>
      <w:r w:rsidRPr="00A11646">
        <w:rPr>
          <w:color w:val="auto"/>
        </w:rPr>
        <w:t xml:space="preserve">. </w:t>
      </w:r>
    </w:p>
    <w:bookmarkEnd w:id="28"/>
    <w:p w:rsidR="00D754DD" w:rsidRPr="00A11646" w:rsidRDefault="00D754DD" w:rsidP="00D754DD">
      <w:pPr>
        <w:pStyle w:val="a3"/>
        <w:spacing w:line="360" w:lineRule="auto"/>
        <w:ind w:firstLine="709"/>
        <w:jc w:val="both"/>
        <w:rPr>
          <w:color w:val="auto"/>
        </w:rPr>
      </w:pPr>
      <w:r w:rsidRPr="00A11646">
        <w:rPr>
          <w:color w:val="auto"/>
        </w:rPr>
        <w:t>В Узбекистане остается не</w:t>
      </w:r>
      <w:r w:rsidR="00581F0C">
        <w:rPr>
          <w:color w:val="auto"/>
          <w:lang w:val="uz-Cyrl-UZ"/>
        </w:rPr>
        <w:t xml:space="preserve"> </w:t>
      </w:r>
      <w:r w:rsidRPr="00A11646">
        <w:rPr>
          <w:color w:val="auto"/>
        </w:rPr>
        <w:t>изученным вопросы частоты встречаемости различных иммунохимических вариантов ММ, особенности их течения, исхода и ответа на проводимую только ПХТ и в комбинации с аутоТГСК.    В связи с этим исследования в этом направлении достаточно актуальны и востребованы.</w:t>
      </w:r>
    </w:p>
    <w:p w:rsidR="00D754DD" w:rsidRPr="00A11646" w:rsidRDefault="00D754DD" w:rsidP="00D754DD">
      <w:pPr>
        <w:pStyle w:val="a3"/>
        <w:spacing w:line="360" w:lineRule="auto"/>
        <w:ind w:firstLine="709"/>
        <w:jc w:val="center"/>
        <w:rPr>
          <w:b/>
          <w:color w:val="auto"/>
        </w:rPr>
      </w:pPr>
      <w:r w:rsidRPr="00A11646">
        <w:rPr>
          <w:b/>
          <w:color w:val="auto"/>
        </w:rPr>
        <w:t>Заключение</w:t>
      </w:r>
    </w:p>
    <w:p w:rsidR="00D754DD" w:rsidRPr="00A11646" w:rsidRDefault="00D754DD" w:rsidP="00D754DD">
      <w:pPr>
        <w:pStyle w:val="a3"/>
        <w:spacing w:line="360" w:lineRule="auto"/>
        <w:ind w:firstLine="709"/>
        <w:jc w:val="both"/>
        <w:rPr>
          <w:color w:val="auto"/>
        </w:rPr>
      </w:pPr>
      <w:r w:rsidRPr="00A11646">
        <w:rPr>
          <w:color w:val="auto"/>
        </w:rPr>
        <w:t>Изучение вопросов этиопатогенеза, диагностики и лечения множественной миеломы (ММ) показало следующие аспекты проблемы:</w:t>
      </w:r>
    </w:p>
    <w:p w:rsidR="00D754DD" w:rsidRPr="00A11646" w:rsidRDefault="00D754DD" w:rsidP="00D754DD">
      <w:pPr>
        <w:pStyle w:val="a3"/>
        <w:spacing w:line="360" w:lineRule="auto"/>
        <w:ind w:firstLine="709"/>
        <w:jc w:val="both"/>
        <w:rPr>
          <w:color w:val="auto"/>
        </w:rPr>
      </w:pPr>
      <w:r w:rsidRPr="00A11646">
        <w:rPr>
          <w:color w:val="auto"/>
        </w:rPr>
        <w:t>- существует необходимость совершенствования методов диагностики ММ;</w:t>
      </w:r>
    </w:p>
    <w:p w:rsidR="00D754DD" w:rsidRPr="00A11646" w:rsidRDefault="00D754DD" w:rsidP="00D754DD">
      <w:pPr>
        <w:pStyle w:val="a3"/>
        <w:spacing w:line="360" w:lineRule="auto"/>
        <w:ind w:firstLine="709"/>
        <w:jc w:val="both"/>
        <w:rPr>
          <w:color w:val="auto"/>
        </w:rPr>
      </w:pPr>
      <w:r w:rsidRPr="00A11646">
        <w:rPr>
          <w:color w:val="auto"/>
        </w:rPr>
        <w:t>- литературный анализ свидетельствует о наличии многочисленных исследований в плане изучения распределения иммунохимических вариантов ММ, однако подобных исследований в нашей республике не проводилось, и, следовательно, отсутствуют данные о частот</w:t>
      </w:r>
      <w:r w:rsidR="00AA02DF">
        <w:rPr>
          <w:color w:val="auto"/>
          <w:lang w:val="uz-Cyrl-UZ"/>
        </w:rPr>
        <w:t>е</w:t>
      </w:r>
      <w:r w:rsidRPr="00A11646">
        <w:rPr>
          <w:color w:val="auto"/>
        </w:rPr>
        <w:t xml:space="preserve"> распределения иммунохимических вариантов ММ в Узбекистане;   </w:t>
      </w:r>
    </w:p>
    <w:p w:rsidR="00D754DD" w:rsidRPr="00A11646" w:rsidRDefault="00D754DD" w:rsidP="00D754DD">
      <w:pPr>
        <w:pStyle w:val="a3"/>
        <w:spacing w:line="360" w:lineRule="auto"/>
        <w:ind w:firstLine="709"/>
        <w:jc w:val="both"/>
        <w:rPr>
          <w:color w:val="auto"/>
        </w:rPr>
      </w:pPr>
      <w:r w:rsidRPr="00A11646">
        <w:rPr>
          <w:color w:val="auto"/>
        </w:rPr>
        <w:t>- многие авторы утверждают, что в прогнозировании течения ММ немаловажную роль имеет определение иммунохимического варианта заболевания, однако такие работы находятся в сфере активных дискуссий;</w:t>
      </w:r>
    </w:p>
    <w:p w:rsidR="00D754DD" w:rsidRPr="00A11646" w:rsidRDefault="00D754DD" w:rsidP="00D754DD">
      <w:pPr>
        <w:pStyle w:val="a3"/>
        <w:spacing w:line="360" w:lineRule="auto"/>
        <w:ind w:firstLine="709"/>
        <w:jc w:val="both"/>
        <w:rPr>
          <w:color w:val="auto"/>
        </w:rPr>
      </w:pPr>
      <w:r w:rsidRPr="00A11646">
        <w:rPr>
          <w:color w:val="auto"/>
        </w:rPr>
        <w:lastRenderedPageBreak/>
        <w:t>- отсутствие работ по сравнительному изучению современных методов лечения с применением высокодозной ПХТ и аутоТГСК на прогноз ММ в узбекской популяции.</w:t>
      </w:r>
    </w:p>
    <w:p w:rsidR="00D754DD" w:rsidRPr="00A11646" w:rsidRDefault="00D754DD" w:rsidP="00D754DD">
      <w:pPr>
        <w:pStyle w:val="a3"/>
        <w:spacing w:line="360" w:lineRule="auto"/>
        <w:ind w:firstLine="709"/>
        <w:jc w:val="both"/>
        <w:rPr>
          <w:color w:val="auto"/>
        </w:rPr>
      </w:pPr>
      <w:r w:rsidRPr="00A11646">
        <w:rPr>
          <w:color w:val="auto"/>
        </w:rPr>
        <w:t xml:space="preserve">Таким образом, изучение литературных источников посвященных изучению проблемы ММ показало, что, несмотря на наличие исследований, посвященных изучению современных методов диагностики и лечения   множественной миеломы, зачастую прогноз заболевания остается неблагоприятным. В связи, с чем поиск высокотехнологичных методов диагностики и лечения множественной миеломы остается весьма актуальным, и требует дальнейшего изучения на новом методическом уровне с использованием передовых технологий.  </w:t>
      </w:r>
    </w:p>
    <w:p w:rsidR="00D754DD" w:rsidRPr="00A11646" w:rsidRDefault="00D754DD" w:rsidP="00D754DD">
      <w:pPr>
        <w:pStyle w:val="a3"/>
        <w:spacing w:line="360" w:lineRule="auto"/>
        <w:ind w:firstLine="709"/>
        <w:jc w:val="both"/>
        <w:rPr>
          <w:color w:val="auto"/>
        </w:rPr>
      </w:pPr>
    </w:p>
    <w:p w:rsidR="00D754DD" w:rsidRPr="00A11646" w:rsidRDefault="00D754DD" w:rsidP="00D754DD">
      <w:pPr>
        <w:pStyle w:val="a3"/>
        <w:spacing w:line="360" w:lineRule="auto"/>
        <w:ind w:firstLine="709"/>
        <w:jc w:val="both"/>
        <w:rPr>
          <w:color w:val="auto"/>
        </w:rPr>
      </w:pPr>
    </w:p>
    <w:p w:rsidR="00D754DD" w:rsidRPr="00A11646" w:rsidRDefault="00D754DD" w:rsidP="00D754DD">
      <w:pPr>
        <w:pStyle w:val="a3"/>
        <w:spacing w:line="360" w:lineRule="auto"/>
        <w:ind w:firstLine="709"/>
        <w:jc w:val="both"/>
        <w:rPr>
          <w:color w:val="auto"/>
        </w:rPr>
      </w:pPr>
    </w:p>
    <w:p w:rsidR="00D754DD" w:rsidRDefault="00D754DD" w:rsidP="00D754DD">
      <w:pPr>
        <w:pStyle w:val="a3"/>
        <w:spacing w:line="360" w:lineRule="auto"/>
        <w:ind w:firstLine="709"/>
        <w:jc w:val="both"/>
        <w:rPr>
          <w:color w:val="auto"/>
        </w:rPr>
      </w:pPr>
    </w:p>
    <w:p w:rsidR="00E41F46" w:rsidRDefault="00E41F46" w:rsidP="00D754DD">
      <w:pPr>
        <w:pStyle w:val="a3"/>
        <w:spacing w:line="360" w:lineRule="auto"/>
        <w:ind w:firstLine="709"/>
        <w:jc w:val="both"/>
        <w:rPr>
          <w:color w:val="auto"/>
        </w:rPr>
      </w:pPr>
    </w:p>
    <w:p w:rsidR="00E41F46" w:rsidRDefault="00E41F46" w:rsidP="00D754DD">
      <w:pPr>
        <w:pStyle w:val="a3"/>
        <w:spacing w:line="360" w:lineRule="auto"/>
        <w:ind w:firstLine="709"/>
        <w:jc w:val="both"/>
        <w:rPr>
          <w:color w:val="auto"/>
        </w:rPr>
      </w:pPr>
    </w:p>
    <w:p w:rsidR="00E41F46" w:rsidRDefault="00E41F46" w:rsidP="00D754DD">
      <w:pPr>
        <w:pStyle w:val="a3"/>
        <w:spacing w:line="360" w:lineRule="auto"/>
        <w:ind w:firstLine="709"/>
        <w:jc w:val="both"/>
        <w:rPr>
          <w:color w:val="auto"/>
        </w:rPr>
      </w:pPr>
    </w:p>
    <w:p w:rsidR="00E41F46" w:rsidRDefault="00E41F46" w:rsidP="00D754DD">
      <w:pPr>
        <w:pStyle w:val="a3"/>
        <w:spacing w:line="360" w:lineRule="auto"/>
        <w:ind w:firstLine="709"/>
        <w:jc w:val="both"/>
        <w:rPr>
          <w:color w:val="auto"/>
        </w:rPr>
      </w:pPr>
    </w:p>
    <w:p w:rsidR="00E41F46" w:rsidRDefault="00E41F46" w:rsidP="00D754DD">
      <w:pPr>
        <w:pStyle w:val="a3"/>
        <w:spacing w:line="360" w:lineRule="auto"/>
        <w:ind w:firstLine="709"/>
        <w:jc w:val="both"/>
        <w:rPr>
          <w:color w:val="auto"/>
        </w:rPr>
      </w:pPr>
    </w:p>
    <w:p w:rsidR="00E41F46" w:rsidRPr="00A11646" w:rsidRDefault="00E41F46" w:rsidP="00D754DD">
      <w:pPr>
        <w:pStyle w:val="a3"/>
        <w:spacing w:line="360" w:lineRule="auto"/>
        <w:ind w:firstLine="709"/>
        <w:jc w:val="both"/>
        <w:rPr>
          <w:color w:val="auto"/>
        </w:rPr>
      </w:pPr>
    </w:p>
    <w:p w:rsidR="00D754DD" w:rsidRPr="00A11646" w:rsidRDefault="00D754DD" w:rsidP="00D754DD">
      <w:pPr>
        <w:pStyle w:val="a3"/>
        <w:spacing w:line="360" w:lineRule="auto"/>
        <w:ind w:firstLine="709"/>
        <w:jc w:val="both"/>
        <w:rPr>
          <w:color w:val="auto"/>
        </w:rPr>
      </w:pPr>
    </w:p>
    <w:p w:rsidR="00D754DD" w:rsidRPr="00A11646" w:rsidRDefault="00D754DD" w:rsidP="00D754DD">
      <w:pPr>
        <w:pStyle w:val="a3"/>
        <w:spacing w:line="360" w:lineRule="auto"/>
        <w:ind w:firstLine="709"/>
        <w:jc w:val="both"/>
        <w:rPr>
          <w:color w:val="auto"/>
        </w:rPr>
      </w:pPr>
    </w:p>
    <w:p w:rsidR="00D754DD" w:rsidRPr="00A11646" w:rsidRDefault="00D754DD" w:rsidP="00D754DD">
      <w:pPr>
        <w:pStyle w:val="a3"/>
        <w:spacing w:line="360" w:lineRule="auto"/>
        <w:ind w:firstLine="709"/>
        <w:jc w:val="both"/>
        <w:rPr>
          <w:color w:val="auto"/>
        </w:rPr>
      </w:pPr>
    </w:p>
    <w:p w:rsidR="00D754DD" w:rsidRPr="00A11646" w:rsidRDefault="00D754DD" w:rsidP="00D754DD">
      <w:pPr>
        <w:pStyle w:val="a3"/>
        <w:spacing w:line="360" w:lineRule="auto"/>
        <w:ind w:firstLine="709"/>
        <w:jc w:val="both"/>
        <w:rPr>
          <w:color w:val="auto"/>
        </w:rPr>
      </w:pPr>
    </w:p>
    <w:p w:rsidR="00CA4766" w:rsidRDefault="00CA4766" w:rsidP="00C328C9">
      <w:pPr>
        <w:autoSpaceDE w:val="0"/>
        <w:autoSpaceDN w:val="0"/>
        <w:adjustRightInd w:val="0"/>
        <w:spacing w:after="0" w:line="360" w:lineRule="auto"/>
        <w:jc w:val="center"/>
        <w:rPr>
          <w:rFonts w:ascii="Times New Roman" w:hAnsi="Times New Roman"/>
          <w:b/>
          <w:bCs/>
          <w:sz w:val="28"/>
          <w:szCs w:val="28"/>
          <w:lang w:val="uz-Cyrl-UZ"/>
        </w:rPr>
      </w:pPr>
    </w:p>
    <w:p w:rsidR="00CA4766" w:rsidRDefault="00CA4766" w:rsidP="00C328C9">
      <w:pPr>
        <w:autoSpaceDE w:val="0"/>
        <w:autoSpaceDN w:val="0"/>
        <w:adjustRightInd w:val="0"/>
        <w:spacing w:after="0" w:line="360" w:lineRule="auto"/>
        <w:jc w:val="center"/>
        <w:rPr>
          <w:rFonts w:ascii="Times New Roman" w:hAnsi="Times New Roman"/>
          <w:b/>
          <w:bCs/>
          <w:sz w:val="28"/>
          <w:szCs w:val="28"/>
          <w:lang w:val="uz-Cyrl-UZ"/>
        </w:rPr>
      </w:pPr>
    </w:p>
    <w:p w:rsidR="00CA4766" w:rsidRDefault="00CA4766" w:rsidP="00C328C9">
      <w:pPr>
        <w:autoSpaceDE w:val="0"/>
        <w:autoSpaceDN w:val="0"/>
        <w:adjustRightInd w:val="0"/>
        <w:spacing w:after="0" w:line="360" w:lineRule="auto"/>
        <w:jc w:val="center"/>
        <w:rPr>
          <w:rFonts w:ascii="Times New Roman" w:hAnsi="Times New Roman"/>
          <w:b/>
          <w:bCs/>
          <w:sz w:val="28"/>
          <w:szCs w:val="28"/>
          <w:lang w:val="uz-Cyrl-UZ"/>
        </w:rPr>
      </w:pPr>
    </w:p>
    <w:p w:rsidR="00CA4766" w:rsidRDefault="00CA4766" w:rsidP="00C328C9">
      <w:pPr>
        <w:autoSpaceDE w:val="0"/>
        <w:autoSpaceDN w:val="0"/>
        <w:adjustRightInd w:val="0"/>
        <w:spacing w:after="0" w:line="360" w:lineRule="auto"/>
        <w:jc w:val="center"/>
        <w:rPr>
          <w:rFonts w:ascii="Times New Roman" w:hAnsi="Times New Roman"/>
          <w:b/>
          <w:bCs/>
          <w:sz w:val="28"/>
          <w:szCs w:val="28"/>
          <w:lang w:val="uz-Cyrl-UZ"/>
        </w:rPr>
      </w:pPr>
    </w:p>
    <w:p w:rsidR="00CA4766" w:rsidRDefault="00CA4766" w:rsidP="00C328C9">
      <w:pPr>
        <w:autoSpaceDE w:val="0"/>
        <w:autoSpaceDN w:val="0"/>
        <w:adjustRightInd w:val="0"/>
        <w:spacing w:after="0" w:line="360" w:lineRule="auto"/>
        <w:jc w:val="center"/>
        <w:rPr>
          <w:rFonts w:ascii="Times New Roman" w:hAnsi="Times New Roman"/>
          <w:b/>
          <w:bCs/>
          <w:sz w:val="28"/>
          <w:szCs w:val="28"/>
          <w:lang w:val="uz-Cyrl-UZ"/>
        </w:rPr>
      </w:pPr>
    </w:p>
    <w:p w:rsidR="00C328C9" w:rsidRPr="00A11646" w:rsidRDefault="00C328C9" w:rsidP="00C328C9">
      <w:pPr>
        <w:autoSpaceDE w:val="0"/>
        <w:autoSpaceDN w:val="0"/>
        <w:adjustRightInd w:val="0"/>
        <w:spacing w:after="0" w:line="360" w:lineRule="auto"/>
        <w:jc w:val="center"/>
        <w:rPr>
          <w:rFonts w:ascii="Times New Roman" w:hAnsi="Times New Roman"/>
          <w:b/>
          <w:bCs/>
          <w:sz w:val="28"/>
          <w:szCs w:val="28"/>
        </w:rPr>
      </w:pPr>
      <w:r w:rsidRPr="00A11646">
        <w:rPr>
          <w:rFonts w:ascii="Times New Roman" w:hAnsi="Times New Roman"/>
          <w:b/>
          <w:bCs/>
          <w:sz w:val="28"/>
          <w:szCs w:val="28"/>
        </w:rPr>
        <w:lastRenderedPageBreak/>
        <w:t xml:space="preserve">Глава </w:t>
      </w:r>
      <w:r w:rsidRPr="00A11646">
        <w:rPr>
          <w:rFonts w:ascii="Times New Roman" w:hAnsi="Times New Roman"/>
          <w:b/>
          <w:bCs/>
          <w:sz w:val="28"/>
          <w:szCs w:val="28"/>
          <w:lang w:val="en-US"/>
        </w:rPr>
        <w:t>II</w:t>
      </w:r>
    </w:p>
    <w:p w:rsidR="00C328C9" w:rsidRPr="00A11646" w:rsidRDefault="00C328C9" w:rsidP="00C328C9">
      <w:pPr>
        <w:autoSpaceDE w:val="0"/>
        <w:autoSpaceDN w:val="0"/>
        <w:adjustRightInd w:val="0"/>
        <w:spacing w:after="0" w:line="360" w:lineRule="auto"/>
        <w:jc w:val="center"/>
        <w:rPr>
          <w:rFonts w:ascii="Times New Roman" w:hAnsi="Times New Roman"/>
          <w:b/>
          <w:bCs/>
          <w:sz w:val="28"/>
          <w:szCs w:val="28"/>
        </w:rPr>
      </w:pPr>
      <w:r w:rsidRPr="00A11646">
        <w:rPr>
          <w:rFonts w:ascii="Times New Roman" w:hAnsi="Times New Roman"/>
          <w:b/>
          <w:bCs/>
          <w:sz w:val="28"/>
          <w:szCs w:val="28"/>
        </w:rPr>
        <w:t>МАТЕРИАЛ И МЕТОДЫ ИССЛЕДОВАНИЯ</w:t>
      </w:r>
    </w:p>
    <w:p w:rsidR="00C328C9" w:rsidRPr="00A11646" w:rsidRDefault="00C328C9" w:rsidP="00C328C9">
      <w:pPr>
        <w:autoSpaceDE w:val="0"/>
        <w:autoSpaceDN w:val="0"/>
        <w:adjustRightInd w:val="0"/>
        <w:spacing w:after="0" w:line="360" w:lineRule="auto"/>
        <w:jc w:val="center"/>
        <w:rPr>
          <w:rFonts w:ascii="Times New Roman" w:hAnsi="Times New Roman"/>
          <w:b/>
          <w:sz w:val="28"/>
          <w:szCs w:val="28"/>
        </w:rPr>
      </w:pPr>
      <w:r w:rsidRPr="00A11646">
        <w:rPr>
          <w:rFonts w:ascii="Times New Roman" w:hAnsi="Times New Roman"/>
          <w:b/>
          <w:sz w:val="28"/>
          <w:szCs w:val="28"/>
        </w:rPr>
        <w:t>§2.1. Материал исследования</w:t>
      </w:r>
    </w:p>
    <w:p w:rsidR="00C328C9" w:rsidRPr="00A11646" w:rsidRDefault="00C328C9" w:rsidP="00C328C9">
      <w:pPr>
        <w:autoSpaceDE w:val="0"/>
        <w:autoSpaceDN w:val="0"/>
        <w:adjustRightInd w:val="0"/>
        <w:spacing w:after="0" w:line="360" w:lineRule="auto"/>
        <w:jc w:val="center"/>
        <w:rPr>
          <w:rFonts w:ascii="Times New Roman" w:hAnsi="Times New Roman"/>
          <w:b/>
          <w:sz w:val="28"/>
          <w:szCs w:val="28"/>
        </w:rPr>
      </w:pPr>
    </w:p>
    <w:p w:rsidR="00C328C9" w:rsidRPr="00A11646" w:rsidRDefault="00C328C9" w:rsidP="00C328C9">
      <w:pPr>
        <w:autoSpaceDE w:val="0"/>
        <w:autoSpaceDN w:val="0"/>
        <w:adjustRightInd w:val="0"/>
        <w:spacing w:after="0" w:line="360" w:lineRule="auto"/>
        <w:jc w:val="center"/>
        <w:rPr>
          <w:rFonts w:ascii="Times New Roman" w:hAnsi="Times New Roman"/>
          <w:b/>
          <w:sz w:val="28"/>
          <w:szCs w:val="28"/>
        </w:rPr>
      </w:pPr>
      <w:r w:rsidRPr="00A11646">
        <w:rPr>
          <w:rFonts w:ascii="Times New Roman" w:hAnsi="Times New Roman"/>
          <w:b/>
          <w:sz w:val="28"/>
          <w:szCs w:val="28"/>
        </w:rPr>
        <w:t>2.1.1.Клиническая характеристика материала</w:t>
      </w:r>
    </w:p>
    <w:p w:rsidR="00C328C9" w:rsidRPr="00A11646" w:rsidRDefault="00C328C9" w:rsidP="00C328C9">
      <w:pPr>
        <w:widowControl w:val="0"/>
        <w:autoSpaceDE w:val="0"/>
        <w:autoSpaceDN w:val="0"/>
        <w:adjustRightInd w:val="0"/>
        <w:spacing w:after="0" w:line="360" w:lineRule="auto"/>
        <w:ind w:firstLine="709"/>
        <w:jc w:val="both"/>
        <w:rPr>
          <w:rFonts w:ascii="Times New Roman" w:eastAsia="Times New Roman" w:hAnsi="Times New Roman"/>
          <w:sz w:val="28"/>
          <w:szCs w:val="28"/>
        </w:rPr>
      </w:pPr>
    </w:p>
    <w:p w:rsidR="00C328C9" w:rsidRPr="00A11646" w:rsidRDefault="00C328C9" w:rsidP="00C328C9">
      <w:pPr>
        <w:widowControl w:val="0"/>
        <w:autoSpaceDE w:val="0"/>
        <w:autoSpaceDN w:val="0"/>
        <w:adjustRightInd w:val="0"/>
        <w:spacing w:after="0" w:line="360" w:lineRule="auto"/>
        <w:ind w:firstLine="709"/>
        <w:jc w:val="both"/>
        <w:rPr>
          <w:rFonts w:ascii="Times New Roman" w:eastAsia="Times New Roman" w:hAnsi="Times New Roman"/>
          <w:sz w:val="28"/>
          <w:szCs w:val="28"/>
        </w:rPr>
      </w:pPr>
      <w:r w:rsidRPr="00A11646">
        <w:rPr>
          <w:rFonts w:ascii="Times New Roman" w:eastAsia="Times New Roman" w:hAnsi="Times New Roman"/>
          <w:sz w:val="28"/>
          <w:szCs w:val="28"/>
        </w:rPr>
        <w:t xml:space="preserve">Для проведения клинического исследования </w:t>
      </w:r>
      <w:r w:rsidRPr="00A11646">
        <w:rPr>
          <w:rFonts w:ascii="Times New Roman" w:hAnsi="Times New Roman"/>
          <w:sz w:val="28"/>
          <w:szCs w:val="28"/>
        </w:rPr>
        <w:t xml:space="preserve">методом случайной выборки </w:t>
      </w:r>
      <w:r w:rsidRPr="00A11646">
        <w:rPr>
          <w:rFonts w:ascii="Times New Roman" w:eastAsia="Times New Roman" w:hAnsi="Times New Roman"/>
          <w:sz w:val="28"/>
          <w:szCs w:val="28"/>
        </w:rPr>
        <w:t xml:space="preserve">проведен подбор больных с множественной миеломой </w:t>
      </w:r>
      <w:r w:rsidRPr="00A11646">
        <w:rPr>
          <w:rFonts w:ascii="Times New Roman" w:hAnsi="Times New Roman"/>
          <w:sz w:val="28"/>
          <w:szCs w:val="28"/>
        </w:rPr>
        <w:t xml:space="preserve">обратившихся в клинику Научно-исследовательского института Гематологии и переливания крови министерства здравоохранения Республики Узбекистан (НИИГ и ПК МЗ РУз) в период с 2012 по 2018 г.г. Отобраны больные </w:t>
      </w:r>
      <w:r w:rsidRPr="00A11646">
        <w:rPr>
          <w:rFonts w:ascii="Times New Roman" w:eastAsia="Times New Roman" w:hAnsi="Times New Roman"/>
          <w:sz w:val="28"/>
          <w:szCs w:val="28"/>
        </w:rPr>
        <w:t>в стадии заболевания</w:t>
      </w:r>
      <w:r w:rsidR="00A9422A">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en-US"/>
        </w:rPr>
        <w:t>II</w:t>
      </w:r>
      <w:r w:rsidRPr="00A11646">
        <w:rPr>
          <w:rFonts w:ascii="Times New Roman" w:hAnsi="Times New Roman"/>
          <w:sz w:val="28"/>
          <w:szCs w:val="28"/>
        </w:rPr>
        <w:t>«</w:t>
      </w:r>
      <w:bookmarkStart w:id="31" w:name="_Hlk5034418"/>
      <w:r w:rsidRPr="00A11646">
        <w:rPr>
          <w:rFonts w:ascii="Times New Roman" w:eastAsia="Times New Roman" w:hAnsi="Times New Roman"/>
          <w:sz w:val="28"/>
          <w:szCs w:val="28"/>
          <w:lang w:val="uz-Cyrl-UZ"/>
        </w:rPr>
        <w:t>А</w:t>
      </w:r>
      <w:r w:rsidRPr="00A11646">
        <w:rPr>
          <w:rFonts w:ascii="Times New Roman" w:hAnsi="Times New Roman"/>
          <w:sz w:val="28"/>
          <w:szCs w:val="28"/>
        </w:rPr>
        <w:t>»</w:t>
      </w:r>
      <w:r w:rsidRPr="00A11646">
        <w:rPr>
          <w:rFonts w:ascii="Times New Roman" w:eastAsia="Times New Roman" w:hAnsi="Times New Roman"/>
          <w:sz w:val="28"/>
          <w:szCs w:val="28"/>
          <w:lang w:val="uz-Cyrl-UZ"/>
        </w:rPr>
        <w:t xml:space="preserve">  и </w:t>
      </w:r>
      <w:r w:rsidRPr="00A11646">
        <w:rPr>
          <w:rFonts w:ascii="Times New Roman" w:hAnsi="Times New Roman"/>
          <w:sz w:val="28"/>
          <w:szCs w:val="28"/>
        </w:rPr>
        <w:t>«</w:t>
      </w:r>
      <w:r w:rsidRPr="00A11646">
        <w:rPr>
          <w:rFonts w:ascii="Times New Roman" w:eastAsia="Times New Roman" w:hAnsi="Times New Roman"/>
          <w:sz w:val="28"/>
          <w:szCs w:val="28"/>
          <w:lang w:val="uz-Cyrl-UZ"/>
        </w:rPr>
        <w:t>В</w:t>
      </w:r>
      <w:r w:rsidRPr="00A11646">
        <w:rPr>
          <w:rFonts w:ascii="Times New Roman" w:hAnsi="Times New Roman"/>
          <w:sz w:val="28"/>
          <w:szCs w:val="28"/>
        </w:rPr>
        <w:t>»</w:t>
      </w:r>
      <w:bookmarkEnd w:id="31"/>
      <w:r w:rsidRPr="00A11646">
        <w:rPr>
          <w:rFonts w:ascii="Times New Roman" w:eastAsia="Times New Roman" w:hAnsi="Times New Roman"/>
          <w:sz w:val="28"/>
          <w:szCs w:val="28"/>
          <w:lang w:val="uz-Cyrl-UZ"/>
        </w:rPr>
        <w:t xml:space="preserve">, а также </w:t>
      </w:r>
      <w:r w:rsidRPr="00A11646">
        <w:rPr>
          <w:rFonts w:ascii="Times New Roman" w:eastAsia="Times New Roman" w:hAnsi="Times New Roman"/>
          <w:sz w:val="28"/>
          <w:szCs w:val="28"/>
          <w:lang w:val="en-US"/>
        </w:rPr>
        <w:t>III</w:t>
      </w:r>
      <w:r w:rsidRPr="00A11646">
        <w:rPr>
          <w:rFonts w:ascii="Times New Roman" w:eastAsia="Times New Roman" w:hAnsi="Times New Roman"/>
          <w:sz w:val="28"/>
          <w:szCs w:val="28"/>
          <w:lang w:val="uz-Cyrl-UZ"/>
        </w:rPr>
        <w:t>А</w:t>
      </w:r>
      <w:r w:rsidRPr="00A11646">
        <w:rPr>
          <w:rFonts w:ascii="Times New Roman" w:hAnsi="Times New Roman"/>
          <w:sz w:val="28"/>
          <w:szCs w:val="28"/>
        </w:rPr>
        <w:t>»</w:t>
      </w:r>
      <w:r w:rsidRPr="00A11646">
        <w:rPr>
          <w:rFonts w:ascii="Times New Roman" w:eastAsia="Times New Roman" w:hAnsi="Times New Roman"/>
          <w:sz w:val="28"/>
          <w:szCs w:val="28"/>
          <w:lang w:val="uz-Cyrl-UZ"/>
        </w:rPr>
        <w:t xml:space="preserve">  и </w:t>
      </w:r>
      <w:r w:rsidRPr="00A11646">
        <w:rPr>
          <w:rFonts w:ascii="Times New Roman" w:hAnsi="Times New Roman"/>
          <w:sz w:val="28"/>
          <w:szCs w:val="28"/>
        </w:rPr>
        <w:t>«</w:t>
      </w:r>
      <w:r w:rsidRPr="00A11646">
        <w:rPr>
          <w:rFonts w:ascii="Times New Roman" w:eastAsia="Times New Roman" w:hAnsi="Times New Roman"/>
          <w:sz w:val="28"/>
          <w:szCs w:val="28"/>
          <w:lang w:val="uz-Cyrl-UZ"/>
        </w:rPr>
        <w:t>В</w:t>
      </w:r>
      <w:r w:rsidRPr="00A11646">
        <w:rPr>
          <w:rFonts w:ascii="Times New Roman" w:hAnsi="Times New Roman"/>
          <w:sz w:val="28"/>
          <w:szCs w:val="28"/>
        </w:rPr>
        <w:t xml:space="preserve">» </w:t>
      </w:r>
      <w:r w:rsidRPr="00A11646">
        <w:rPr>
          <w:rFonts w:ascii="Times New Roman" w:eastAsia="Times New Roman" w:hAnsi="Times New Roman"/>
          <w:sz w:val="28"/>
          <w:szCs w:val="28"/>
        </w:rPr>
        <w:t xml:space="preserve">в количестве 124 человек в возрасте от 28 до 80 лет (средний возраст больных составил </w:t>
      </w:r>
      <w:bookmarkStart w:id="32" w:name="_Hlk4663044"/>
      <w:r w:rsidRPr="00A11646">
        <w:rPr>
          <w:rFonts w:ascii="Times New Roman" w:hAnsi="Times New Roman"/>
          <w:sz w:val="28"/>
          <w:szCs w:val="28"/>
        </w:rPr>
        <w:t>55,3 ± 2,3 лет</w:t>
      </w:r>
      <w:r w:rsidRPr="00A11646">
        <w:rPr>
          <w:rFonts w:ascii="Times New Roman" w:eastAsia="Times New Roman" w:hAnsi="Times New Roman"/>
          <w:sz w:val="28"/>
          <w:szCs w:val="28"/>
        </w:rPr>
        <w:t>).</w:t>
      </w:r>
      <w:bookmarkEnd w:id="32"/>
      <w:r w:rsidR="007C23AD">
        <w:rPr>
          <w:rFonts w:ascii="Times New Roman" w:eastAsia="Times New Roman" w:hAnsi="Times New Roman"/>
          <w:sz w:val="28"/>
          <w:szCs w:val="28"/>
        </w:rPr>
        <w:t xml:space="preserve"> </w:t>
      </w:r>
      <w:r w:rsidRPr="00A11646">
        <w:rPr>
          <w:rFonts w:ascii="Times New Roman" w:hAnsi="Times New Roman"/>
          <w:sz w:val="28"/>
          <w:szCs w:val="28"/>
        </w:rPr>
        <w:t xml:space="preserve">Срок наблюдения составил в среднем </w:t>
      </w:r>
      <w:r w:rsidRPr="00A11646">
        <w:rPr>
          <w:rFonts w:ascii="Times New Roman" w:hAnsi="Times New Roman"/>
          <w:sz w:val="28"/>
          <w:szCs w:val="28"/>
          <w:lang w:val="uz-Cyrl-UZ"/>
        </w:rPr>
        <w:t>45,5</w:t>
      </w:r>
      <w:r w:rsidRPr="00A11646">
        <w:rPr>
          <w:rFonts w:ascii="Times New Roman" w:hAnsi="Times New Roman"/>
          <w:sz w:val="28"/>
          <w:szCs w:val="28"/>
        </w:rPr>
        <w:t>±</w:t>
      </w:r>
      <w:r w:rsidRPr="00A11646">
        <w:rPr>
          <w:rFonts w:ascii="Times New Roman" w:hAnsi="Times New Roman"/>
          <w:sz w:val="28"/>
          <w:szCs w:val="28"/>
          <w:lang w:val="uz-Cyrl-UZ"/>
        </w:rPr>
        <w:t>2</w:t>
      </w:r>
      <w:r w:rsidRPr="00A11646">
        <w:rPr>
          <w:rFonts w:ascii="Times New Roman" w:hAnsi="Times New Roman"/>
          <w:sz w:val="28"/>
          <w:szCs w:val="28"/>
        </w:rPr>
        <w:t xml:space="preserve">,9 </w:t>
      </w:r>
      <w:r w:rsidRPr="00A11646">
        <w:rPr>
          <w:rFonts w:ascii="Times New Roman" w:hAnsi="Times New Roman"/>
          <w:sz w:val="28"/>
          <w:szCs w:val="28"/>
          <w:lang w:val="uz-Cyrl-UZ"/>
        </w:rPr>
        <w:t>месяца (от 4 до 90 месяцев)</w:t>
      </w:r>
      <w:r w:rsidRPr="00A11646">
        <w:rPr>
          <w:rFonts w:ascii="Times New Roman" w:hAnsi="Times New Roman"/>
          <w:sz w:val="28"/>
          <w:szCs w:val="28"/>
        </w:rPr>
        <w:t>.</w:t>
      </w:r>
      <w:r w:rsidR="00A9422A">
        <w:rPr>
          <w:rFonts w:ascii="Times New Roman" w:hAnsi="Times New Roman"/>
          <w:sz w:val="28"/>
          <w:szCs w:val="28"/>
          <w:lang w:val="uz-Cyrl-UZ"/>
        </w:rPr>
        <w:t xml:space="preserve"> </w:t>
      </w:r>
      <w:r w:rsidRPr="00A11646">
        <w:rPr>
          <w:rFonts w:ascii="Times New Roman" w:hAnsi="Times New Roman"/>
          <w:sz w:val="28"/>
          <w:szCs w:val="28"/>
        </w:rPr>
        <w:t>Диагноз верифицирован  с учетом рекомендаций ВОЗ (2008) включающих в себя определение клинико– гематологических (анемия, повышение скорости оседания эритроцитов (СОЭ)) и морфологических данных (более 10% плазматических клеток в стернальном пунктате), биохимических (увеличение содержания общего белка, белковых фракций, креатинина, остаточного азота, мочевины), иммунохимических</w:t>
      </w:r>
      <w:r w:rsidR="00A9422A">
        <w:rPr>
          <w:rFonts w:ascii="Times New Roman" w:hAnsi="Times New Roman"/>
          <w:sz w:val="28"/>
          <w:szCs w:val="28"/>
          <w:lang w:val="uz-Cyrl-UZ"/>
        </w:rPr>
        <w:t xml:space="preserve"> </w:t>
      </w:r>
      <w:r w:rsidRPr="00A11646">
        <w:rPr>
          <w:rFonts w:ascii="Times New Roman" w:hAnsi="Times New Roman"/>
          <w:sz w:val="28"/>
          <w:szCs w:val="28"/>
        </w:rPr>
        <w:t>(обнаружение моноклонального иммуноглобулина в сыворотке крови) и инструментальных</w:t>
      </w:r>
      <w:r w:rsidR="00A9422A">
        <w:rPr>
          <w:rFonts w:ascii="Times New Roman" w:hAnsi="Times New Roman"/>
          <w:sz w:val="28"/>
          <w:szCs w:val="28"/>
          <w:lang w:val="uz-Cyrl-UZ"/>
        </w:rPr>
        <w:t xml:space="preserve"> </w:t>
      </w:r>
      <w:r w:rsidRPr="00A11646">
        <w:rPr>
          <w:rFonts w:ascii="Times New Roman" w:hAnsi="Times New Roman"/>
          <w:sz w:val="28"/>
          <w:szCs w:val="28"/>
        </w:rPr>
        <w:t>(очаги деструкции в костях, остеодеструктивные изменения или генерализованный остеопороз)</w:t>
      </w:r>
      <w:r w:rsidR="00A9422A">
        <w:rPr>
          <w:rFonts w:ascii="Times New Roman" w:hAnsi="Times New Roman"/>
          <w:sz w:val="28"/>
          <w:szCs w:val="28"/>
          <w:lang w:val="uz-Cyrl-UZ"/>
        </w:rPr>
        <w:t xml:space="preserve"> </w:t>
      </w:r>
      <w:r w:rsidRPr="00A11646">
        <w:rPr>
          <w:rFonts w:ascii="Times New Roman" w:hAnsi="Times New Roman"/>
          <w:sz w:val="28"/>
          <w:szCs w:val="28"/>
        </w:rPr>
        <w:t>маркеров заболевания. Стадия заболевания была установлена на основании</w:t>
      </w:r>
      <w:bookmarkStart w:id="33" w:name="_Hlk6068898"/>
      <w:r w:rsidRPr="00A11646">
        <w:rPr>
          <w:rFonts w:ascii="Times New Roman" w:hAnsi="Times New Roman"/>
          <w:sz w:val="28"/>
          <w:szCs w:val="28"/>
        </w:rPr>
        <w:t xml:space="preserve">классификация по </w:t>
      </w:r>
      <w:bookmarkStart w:id="34" w:name="_Hlk5641200"/>
      <w:r w:rsidRPr="00A11646">
        <w:rPr>
          <w:rFonts w:ascii="Times New Roman" w:hAnsi="Times New Roman"/>
          <w:sz w:val="28"/>
          <w:szCs w:val="28"/>
        </w:rPr>
        <w:t>G.M. Durie и S.E. Salmon (1975)</w:t>
      </w:r>
      <w:bookmarkEnd w:id="33"/>
      <w:bookmarkEnd w:id="34"/>
      <w:r w:rsidRPr="00A11646">
        <w:rPr>
          <w:rFonts w:ascii="Times New Roman" w:hAnsi="Times New Roman"/>
          <w:sz w:val="28"/>
          <w:szCs w:val="28"/>
        </w:rPr>
        <w:t xml:space="preserve">[70, с. 1467-1473].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В качестве группы сравнения в исследование включено 80</w:t>
      </w:r>
      <w:r w:rsidR="00A9422A">
        <w:rPr>
          <w:rFonts w:ascii="Times New Roman" w:hAnsi="Times New Roman"/>
          <w:sz w:val="28"/>
          <w:szCs w:val="28"/>
          <w:lang w:val="uz-Cyrl-UZ"/>
        </w:rPr>
        <w:t xml:space="preserve"> </w:t>
      </w:r>
      <w:r w:rsidRPr="00A11646">
        <w:rPr>
          <w:rFonts w:ascii="Times New Roman" w:hAnsi="Times New Roman"/>
          <w:sz w:val="28"/>
          <w:szCs w:val="28"/>
        </w:rPr>
        <w:t xml:space="preserve">условно-здоровых лиц, сопоставимых по полу и возрасту с группой обследованных больных.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35" w:name="_Hlk20247399"/>
      <w:r w:rsidRPr="00A11646">
        <w:rPr>
          <w:rFonts w:ascii="Times New Roman" w:hAnsi="Times New Roman"/>
          <w:sz w:val="28"/>
          <w:szCs w:val="28"/>
        </w:rPr>
        <w:lastRenderedPageBreak/>
        <w:t>Все обследуемые распределены на две большие группы: 1-я основная группа больных ММ, которая в соответствие с задачами исследования в отношении метода лечения подразделена на две подгруппы</w:t>
      </w:r>
      <w:bookmarkStart w:id="36" w:name="_Hlk5472057"/>
      <w:r w:rsidRPr="00A11646">
        <w:rPr>
          <w:rFonts w:ascii="Times New Roman" w:hAnsi="Times New Roman"/>
          <w:sz w:val="28"/>
          <w:szCs w:val="28"/>
        </w:rPr>
        <w:t>(«А» - больные (</w:t>
      </w:r>
      <w:r w:rsidRPr="00A11646">
        <w:rPr>
          <w:rFonts w:ascii="Times New Roman" w:hAnsi="Times New Roman"/>
          <w:sz w:val="28"/>
          <w:szCs w:val="28"/>
          <w:lang w:val="en-US"/>
        </w:rPr>
        <w:t>n</w:t>
      </w:r>
      <w:r w:rsidRPr="00A11646">
        <w:rPr>
          <w:rFonts w:ascii="Times New Roman" w:hAnsi="Times New Roman"/>
          <w:sz w:val="28"/>
          <w:szCs w:val="28"/>
        </w:rPr>
        <w:t xml:space="preserve">=87)– получавшие полихимиотерапию (ПХТ) по протоколу </w:t>
      </w:r>
      <w:r w:rsidRPr="00A11646">
        <w:rPr>
          <w:rFonts w:ascii="Times New Roman" w:hAnsi="Times New Roman"/>
          <w:sz w:val="28"/>
          <w:szCs w:val="28"/>
          <w:lang w:val="en-US"/>
        </w:rPr>
        <w:t>VCD</w:t>
      </w:r>
      <w:r w:rsidRPr="00A11646">
        <w:rPr>
          <w:rFonts w:ascii="Times New Roman" w:hAnsi="Times New Roman"/>
          <w:sz w:val="28"/>
          <w:szCs w:val="28"/>
          <w:lang w:val="uz-Cyrl-UZ"/>
        </w:rPr>
        <w:t xml:space="preserve"> 4 курса и </w:t>
      </w:r>
      <w:bookmarkEnd w:id="36"/>
      <w:r w:rsidRPr="00A11646">
        <w:rPr>
          <w:rFonts w:ascii="Times New Roman" w:hAnsi="Times New Roman"/>
          <w:sz w:val="28"/>
          <w:szCs w:val="28"/>
        </w:rPr>
        <w:t>«Б» - больные  (</w:t>
      </w:r>
      <w:r w:rsidRPr="00A11646">
        <w:rPr>
          <w:rFonts w:ascii="Times New Roman" w:hAnsi="Times New Roman"/>
          <w:sz w:val="28"/>
          <w:szCs w:val="28"/>
          <w:lang w:val="en-US"/>
        </w:rPr>
        <w:t>n</w:t>
      </w:r>
      <w:r w:rsidRPr="00A11646">
        <w:rPr>
          <w:rFonts w:ascii="Times New Roman" w:hAnsi="Times New Roman"/>
          <w:sz w:val="28"/>
          <w:szCs w:val="28"/>
        </w:rPr>
        <w:t xml:space="preserve">=20)– получавшие полихимиотерапию (ПХТ) по протоколу </w:t>
      </w:r>
      <w:r w:rsidRPr="00A11646">
        <w:rPr>
          <w:rFonts w:ascii="Times New Roman" w:hAnsi="Times New Roman"/>
          <w:sz w:val="28"/>
          <w:szCs w:val="28"/>
          <w:lang w:val="en-US"/>
        </w:rPr>
        <w:t>VCD</w:t>
      </w:r>
      <w:r w:rsidRPr="00A11646">
        <w:rPr>
          <w:rFonts w:ascii="Times New Roman" w:hAnsi="Times New Roman"/>
          <w:sz w:val="28"/>
          <w:szCs w:val="28"/>
        </w:rPr>
        <w:tab/>
      </w:r>
      <w:r w:rsidRPr="00A11646">
        <w:rPr>
          <w:rFonts w:ascii="Times New Roman" w:hAnsi="Times New Roman"/>
          <w:sz w:val="28"/>
          <w:szCs w:val="28"/>
          <w:lang w:val="uz-Cyrl-UZ"/>
        </w:rPr>
        <w:t xml:space="preserve"> 4 курса и аутотрансплантацию гемопоэтических стволовых клеток (аутоТГСК)) и 2-я -контрольная группа (</w:t>
      </w:r>
      <w:r w:rsidRPr="00A11646">
        <w:rPr>
          <w:rFonts w:ascii="Times New Roman" w:hAnsi="Times New Roman"/>
          <w:sz w:val="28"/>
          <w:szCs w:val="28"/>
          <w:lang w:val="en-US"/>
        </w:rPr>
        <w:t>n</w:t>
      </w:r>
      <w:r w:rsidRPr="00A11646">
        <w:rPr>
          <w:rFonts w:ascii="Times New Roman" w:hAnsi="Times New Roman"/>
          <w:sz w:val="28"/>
          <w:szCs w:val="28"/>
        </w:rPr>
        <w:t>=</w:t>
      </w:r>
      <w:r w:rsidRPr="00A11646">
        <w:rPr>
          <w:rFonts w:ascii="Times New Roman" w:hAnsi="Times New Roman"/>
          <w:sz w:val="28"/>
          <w:szCs w:val="28"/>
          <w:lang w:val="uz-Cyrl-UZ"/>
        </w:rPr>
        <w:t>8</w:t>
      </w:r>
      <w:r w:rsidRPr="00A11646">
        <w:rPr>
          <w:rFonts w:ascii="Times New Roman" w:hAnsi="Times New Roman"/>
          <w:sz w:val="28"/>
          <w:szCs w:val="28"/>
        </w:rPr>
        <w:t xml:space="preserve">0) </w:t>
      </w:r>
      <w:bookmarkEnd w:id="35"/>
      <w:r w:rsidRPr="00A11646">
        <w:rPr>
          <w:rFonts w:ascii="Times New Roman" w:hAnsi="Times New Roman"/>
          <w:sz w:val="28"/>
          <w:szCs w:val="28"/>
        </w:rPr>
        <w:t>(</w:t>
      </w:r>
      <w:r w:rsidRPr="00A11646">
        <w:rPr>
          <w:rFonts w:ascii="Times New Roman" w:hAnsi="Times New Roman"/>
          <w:sz w:val="28"/>
          <w:szCs w:val="28"/>
          <w:lang w:val="uz-Cyrl-UZ"/>
        </w:rPr>
        <w:t>схема 2.1.1.1.).</w:t>
      </w:r>
    </w:p>
    <w:p w:rsidR="00C328C9" w:rsidRPr="00A11646" w:rsidRDefault="00C328C9" w:rsidP="00C328C9">
      <w:pPr>
        <w:autoSpaceDE w:val="0"/>
        <w:autoSpaceDN w:val="0"/>
        <w:adjustRightInd w:val="0"/>
        <w:spacing w:after="0" w:line="360" w:lineRule="auto"/>
        <w:ind w:firstLine="708"/>
        <w:jc w:val="right"/>
        <w:rPr>
          <w:rFonts w:ascii="Times New Roman" w:hAnsi="Times New Roman"/>
          <w:b/>
          <w:sz w:val="28"/>
          <w:szCs w:val="28"/>
          <w:lang w:val="uz-Cyrl-UZ"/>
        </w:rPr>
      </w:pPr>
      <w:r w:rsidRPr="00A11646">
        <w:rPr>
          <w:rFonts w:ascii="Times New Roman" w:hAnsi="Times New Roman"/>
          <w:b/>
          <w:sz w:val="28"/>
          <w:szCs w:val="28"/>
          <w:lang w:val="uz-Cyrl-UZ"/>
        </w:rPr>
        <w:t>Схема 2.1.1.1.</w:t>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lang w:val="uz-Cyrl-UZ"/>
        </w:rPr>
      </w:pPr>
      <w:r w:rsidRPr="00A11646">
        <w:rPr>
          <w:rFonts w:ascii="Times New Roman" w:hAnsi="Times New Roman"/>
          <w:b/>
          <w:sz w:val="28"/>
          <w:szCs w:val="28"/>
          <w:lang w:val="uz-Cyrl-UZ"/>
        </w:rPr>
        <w:t>Распределение обследованных по группам</w:t>
      </w:r>
    </w:p>
    <w:p w:rsidR="00C328C9" w:rsidRPr="00A11646" w:rsidRDefault="00A32487" w:rsidP="00C328C9">
      <w:pPr>
        <w:autoSpaceDE w:val="0"/>
        <w:autoSpaceDN w:val="0"/>
        <w:adjustRightInd w:val="0"/>
        <w:spacing w:after="0" w:line="360" w:lineRule="auto"/>
        <w:ind w:firstLine="708"/>
        <w:jc w:val="center"/>
        <w:rPr>
          <w:rFonts w:ascii="Times New Roman" w:hAnsi="Times New Roman"/>
          <w:b/>
          <w:sz w:val="28"/>
          <w:szCs w:val="28"/>
        </w:rPr>
      </w:pPr>
      <w:r>
        <w:rPr>
          <w:rFonts w:ascii="Times New Roman" w:hAnsi="Times New Roman"/>
          <w:b/>
          <w:noProof/>
          <w:sz w:val="28"/>
          <w:szCs w:val="28"/>
        </w:rPr>
        <w:pict>
          <v:oval id="Овал 1" o:spid="_x0000_s1026" style="position:absolute;left:0;text-align:left;margin-left:104.55pt;margin-top:11.4pt;width:268.2pt;height:107.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" fillcolor="#4f81bd [3204]" strokecolor="#243f60 [1604]" strokeweight="2pt">
            <v:path arrowok="t"/>
            <v:textbox>
              <w:txbxContent>
                <w:p w:rsidR="001E3562" w:rsidRPr="009E7B6A" w:rsidRDefault="001E3562" w:rsidP="00C328C9">
                  <w:pPr>
                    <w:jc w:val="center"/>
                    <w:rPr>
                      <w:rFonts w:ascii="Times New Roman" w:hAnsi="Times New Roman"/>
                      <w:color w:val="FFFF00"/>
                      <w:sz w:val="28"/>
                      <w:szCs w:val="28"/>
                      <w:lang w:val="en-US"/>
                    </w:rPr>
                  </w:pPr>
                  <w:r>
                    <w:rPr>
                      <w:rFonts w:ascii="Times New Roman" w:hAnsi="Times New Roman"/>
                      <w:color w:val="FFFF00"/>
                      <w:sz w:val="28"/>
                      <w:szCs w:val="28"/>
                    </w:rPr>
                    <w:t>КЛИНИЧЕСКИЙ МАТЕРИАЛ</w:t>
                  </w:r>
                  <w:r w:rsidRPr="009E7B6A">
                    <w:rPr>
                      <w:rFonts w:ascii="Times New Roman" w:hAnsi="Times New Roman"/>
                      <w:color w:val="FFFF00"/>
                      <w:sz w:val="28"/>
                      <w:szCs w:val="28"/>
                      <w:lang w:val="en-US"/>
                    </w:rPr>
                    <w:t>,</w:t>
                  </w:r>
                </w:p>
                <w:p w:rsidR="001E3562" w:rsidRPr="009E7B6A" w:rsidRDefault="001E3562" w:rsidP="00C328C9">
                  <w:pPr>
                    <w:jc w:val="center"/>
                    <w:rPr>
                      <w:rFonts w:ascii="Times New Roman" w:hAnsi="Times New Roman"/>
                      <w:color w:val="FFFF00"/>
                      <w:sz w:val="28"/>
                      <w:szCs w:val="28"/>
                      <w:lang w:val="en-US"/>
                    </w:rPr>
                  </w:pPr>
                  <w:r w:rsidRPr="009E7B6A">
                    <w:rPr>
                      <w:rFonts w:ascii="Times New Roman" w:hAnsi="Times New Roman"/>
                      <w:color w:val="FFFF00"/>
                      <w:sz w:val="28"/>
                      <w:szCs w:val="28"/>
                    </w:rPr>
                    <w:t>(</w:t>
                  </w:r>
                  <w:r w:rsidRPr="009E7B6A">
                    <w:rPr>
                      <w:rFonts w:ascii="Times New Roman" w:hAnsi="Times New Roman"/>
                      <w:color w:val="FFFF00"/>
                      <w:sz w:val="28"/>
                      <w:szCs w:val="28"/>
                      <w:lang w:val="en-US"/>
                    </w:rPr>
                    <w:t>n=2</w:t>
                  </w:r>
                  <w:r>
                    <w:rPr>
                      <w:rFonts w:ascii="Times New Roman" w:hAnsi="Times New Roman"/>
                      <w:color w:val="FFFF00"/>
                      <w:sz w:val="28"/>
                      <w:szCs w:val="28"/>
                    </w:rPr>
                    <w:t>0</w:t>
                  </w:r>
                  <w:r w:rsidRPr="009E7B6A">
                    <w:rPr>
                      <w:rFonts w:ascii="Times New Roman" w:hAnsi="Times New Roman"/>
                      <w:color w:val="FFFF00"/>
                      <w:sz w:val="28"/>
                      <w:szCs w:val="28"/>
                      <w:lang w:val="en-US"/>
                    </w:rPr>
                    <w:t>4)</w:t>
                  </w:r>
                </w:p>
              </w:txbxContent>
            </v:textbox>
          </v:oval>
        </w:pict>
      </w:r>
    </w:p>
    <w:p w:rsidR="00C328C9" w:rsidRPr="00A11646" w:rsidRDefault="00C328C9" w:rsidP="00C328C9">
      <w:pPr>
        <w:autoSpaceDE w:val="0"/>
        <w:autoSpaceDN w:val="0"/>
        <w:adjustRightInd w:val="0"/>
        <w:spacing w:after="0" w:line="360" w:lineRule="auto"/>
        <w:ind w:firstLine="708"/>
        <w:jc w:val="right"/>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right"/>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right"/>
        <w:rPr>
          <w:rFonts w:ascii="Times New Roman" w:hAnsi="Times New Roman"/>
          <w:sz w:val="28"/>
          <w:szCs w:val="28"/>
        </w:rPr>
      </w:pPr>
    </w:p>
    <w:p w:rsidR="00C328C9" w:rsidRPr="00A11646" w:rsidRDefault="00A32487" w:rsidP="00C328C9">
      <w:pPr>
        <w:autoSpaceDE w:val="0"/>
        <w:autoSpaceDN w:val="0"/>
        <w:adjustRightInd w:val="0"/>
        <w:spacing w:after="0" w:line="360" w:lineRule="auto"/>
        <w:ind w:firstLine="708"/>
        <w:jc w:val="right"/>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36" type="#_x0000_t67" style="position:absolute;left:0;text-align:left;margin-left:320.95pt;margin-top:12.4pt;width:51.6pt;height:43.8pt;rotation:-1791586fd;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" adj="10800" fillcolor="#4f81bd" strokecolor="#385d8a" strokeweight="2pt">
            <v:path arrowok="t"/>
          </v:shape>
        </w:pict>
      </w:r>
      <w:r>
        <w:rPr>
          <w:rFonts w:ascii="Times New Roman" w:hAnsi="Times New Roman"/>
          <w:noProof/>
          <w:sz w:val="28"/>
          <w:szCs w:val="28"/>
        </w:rPr>
        <w:pict>
          <v:shape id="Стрелка: вниз 2" o:spid="_x0000_s1035" type="#_x0000_t67" style="position:absolute;left:0;text-align:left;margin-left:93.15pt;margin-top:14.45pt;width:51.6pt;height:43.8pt;rotation:2052983fd;z-index:251611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" adj="10800" fillcolor="#4f81bd [3204]" strokecolor="#243f60 [1604]" strokeweight="2pt">
            <v:path arrowok="t"/>
          </v:shape>
        </w:pict>
      </w:r>
    </w:p>
    <w:p w:rsidR="00C328C9" w:rsidRPr="00A11646" w:rsidRDefault="00C328C9" w:rsidP="00C328C9">
      <w:pPr>
        <w:autoSpaceDE w:val="0"/>
        <w:autoSpaceDN w:val="0"/>
        <w:adjustRightInd w:val="0"/>
        <w:spacing w:after="0" w:line="360" w:lineRule="auto"/>
        <w:ind w:firstLine="708"/>
        <w:jc w:val="right"/>
        <w:rPr>
          <w:rFonts w:ascii="Times New Roman" w:hAnsi="Times New Roman"/>
          <w:sz w:val="28"/>
          <w:szCs w:val="28"/>
        </w:rPr>
      </w:pPr>
    </w:p>
    <w:p w:rsidR="00C328C9" w:rsidRPr="00A11646" w:rsidRDefault="00A32487" w:rsidP="00C328C9">
      <w:pPr>
        <w:autoSpaceDE w:val="0"/>
        <w:autoSpaceDN w:val="0"/>
        <w:adjustRightInd w:val="0"/>
        <w:spacing w:after="0" w:line="360" w:lineRule="auto"/>
        <w:ind w:firstLine="708"/>
        <w:jc w:val="right"/>
        <w:rPr>
          <w:rFonts w:ascii="Times New Roman" w:hAnsi="Times New Roman"/>
          <w:sz w:val="28"/>
          <w:szCs w:val="28"/>
        </w:rPr>
      </w:pPr>
      <w:r>
        <w:rPr>
          <w:rFonts w:ascii="Times New Roman" w:hAnsi="Times New Roman"/>
          <w:noProof/>
          <w:sz w:val="28"/>
          <w:szCs w:val="28"/>
        </w:rPr>
        <w:pict>
          <v:roundrect id="Прямоугольник: скругленные углы 4" o:spid="_x0000_s1027" style="position:absolute;left:0;text-align:left;margin-left:-17.25pt;margin-top:9.05pt;width:210.6pt;height:80.4pt;z-index:2516316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" fillcolor="#4f81bd [3204]" strokecolor="#243f60 [1604]" strokeweight="2pt">
            <v:path arrowok="t"/>
            <v:textbox>
              <w:txbxContent>
                <w:p w:rsidR="001E3562" w:rsidRPr="009E7B6A" w:rsidRDefault="001E3562" w:rsidP="00C328C9">
                  <w:pPr>
                    <w:jc w:val="center"/>
                    <w:rPr>
                      <w:rFonts w:ascii="Times New Roman" w:hAnsi="Times New Roman"/>
                      <w:color w:val="FFFF00"/>
                      <w:sz w:val="28"/>
                      <w:szCs w:val="28"/>
                    </w:rPr>
                  </w:pPr>
                  <w:r w:rsidRPr="009E7B6A">
                    <w:rPr>
                      <w:rFonts w:ascii="Times New Roman" w:hAnsi="Times New Roman"/>
                      <w:color w:val="FFFF00"/>
                      <w:sz w:val="28"/>
                      <w:szCs w:val="28"/>
                    </w:rPr>
                    <w:t xml:space="preserve">1-я </w:t>
                  </w:r>
                  <w:r w:rsidRPr="009E7B6A">
                    <w:rPr>
                      <w:rFonts w:ascii="Times New Roman" w:hAnsi="Times New Roman"/>
                      <w:color w:val="FFFF00"/>
                      <w:sz w:val="28"/>
                      <w:szCs w:val="28"/>
                      <w:lang w:val="uz-Cyrl-UZ"/>
                    </w:rPr>
                    <w:t xml:space="preserve">основная </w:t>
                  </w:r>
                  <w:r w:rsidRPr="009E7B6A">
                    <w:rPr>
                      <w:rFonts w:ascii="Times New Roman" w:hAnsi="Times New Roman"/>
                      <w:color w:val="FFFF00"/>
                      <w:sz w:val="28"/>
                      <w:szCs w:val="28"/>
                    </w:rPr>
                    <w:t>группабольны</w:t>
                  </w:r>
                  <w:r w:rsidRPr="009E7B6A">
                    <w:rPr>
                      <w:rFonts w:ascii="Times New Roman" w:hAnsi="Times New Roman"/>
                      <w:color w:val="FFFF00"/>
                      <w:sz w:val="28"/>
                      <w:szCs w:val="28"/>
                      <w:lang w:val="uz-Cyrl-UZ"/>
                    </w:rPr>
                    <w:t>х</w:t>
                  </w:r>
                  <w:r w:rsidRPr="009E7B6A">
                    <w:rPr>
                      <w:rFonts w:ascii="Times New Roman" w:hAnsi="Times New Roman"/>
                      <w:color w:val="FFFF00"/>
                      <w:sz w:val="28"/>
                      <w:szCs w:val="28"/>
                    </w:rPr>
                    <w:t xml:space="preserve"> ММ, (</w:t>
                  </w:r>
                  <w:r w:rsidRPr="009E7B6A">
                    <w:rPr>
                      <w:rFonts w:ascii="Times New Roman" w:hAnsi="Times New Roman"/>
                      <w:color w:val="FFFF00"/>
                      <w:sz w:val="28"/>
                      <w:szCs w:val="28"/>
                      <w:lang w:val="en-US"/>
                    </w:rPr>
                    <w:t>n</w:t>
                  </w:r>
                  <w:r w:rsidRPr="009E7B6A">
                    <w:rPr>
                      <w:rFonts w:ascii="Times New Roman" w:hAnsi="Times New Roman"/>
                      <w:color w:val="FFFF00"/>
                      <w:sz w:val="28"/>
                      <w:szCs w:val="28"/>
                    </w:rPr>
                    <w:t>=124)</w:t>
                  </w:r>
                </w:p>
              </w:txbxContent>
            </v:textbox>
          </v:roundrect>
        </w:pict>
      </w:r>
      <w:r>
        <w:rPr>
          <w:rFonts w:ascii="Times New Roman" w:hAnsi="Times New Roman"/>
          <w:noProof/>
          <w:sz w:val="28"/>
          <w:szCs w:val="28"/>
        </w:rPr>
        <w:pict>
          <v:roundrect id="Прямоугольник: скругленные углы 5" o:spid="_x0000_s1028" style="position:absolute;left:0;text-align:left;margin-left:258.15pt;margin-top:10.25pt;width:210.6pt;height:83.4pt;z-index:2516418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" fillcolor="#4f81bd [3204]" strokecolor="#243f60 [1604]" strokeweight="2pt">
            <v:path arrowok="t"/>
            <v:textbox>
              <w:txbxContent>
                <w:p w:rsidR="001E3562" w:rsidRPr="009E7B6A" w:rsidRDefault="001E3562" w:rsidP="00C328C9">
                  <w:pPr>
                    <w:jc w:val="center"/>
                    <w:rPr>
                      <w:rFonts w:ascii="Times New Roman" w:hAnsi="Times New Roman"/>
                      <w:color w:val="FFFF00"/>
                      <w:sz w:val="28"/>
                      <w:szCs w:val="28"/>
                      <w:lang w:val="uz-Cyrl-UZ"/>
                    </w:rPr>
                  </w:pPr>
                  <w:r w:rsidRPr="009E7B6A">
                    <w:rPr>
                      <w:rFonts w:ascii="Times New Roman" w:hAnsi="Times New Roman"/>
                      <w:color w:val="FFFF00"/>
                      <w:sz w:val="28"/>
                      <w:szCs w:val="28"/>
                    </w:rPr>
                    <w:t>2-</w:t>
                  </w:r>
                  <w:r w:rsidRPr="009E7B6A">
                    <w:rPr>
                      <w:rFonts w:ascii="Times New Roman" w:hAnsi="Times New Roman"/>
                      <w:color w:val="FFFF00"/>
                      <w:sz w:val="28"/>
                      <w:szCs w:val="28"/>
                      <w:lang w:val="uz-Cyrl-UZ"/>
                    </w:rPr>
                    <w:t xml:space="preserve">я контрольная группа </w:t>
                  </w:r>
                </w:p>
                <w:p w:rsidR="001E3562" w:rsidRPr="009E7B6A" w:rsidRDefault="001E3562" w:rsidP="00C328C9">
                  <w:pPr>
                    <w:jc w:val="center"/>
                    <w:rPr>
                      <w:rFonts w:ascii="Times New Roman" w:hAnsi="Times New Roman"/>
                      <w:color w:val="FFFF00"/>
                      <w:sz w:val="28"/>
                      <w:szCs w:val="28"/>
                      <w:lang w:val="uz-Cyrl-UZ"/>
                    </w:rPr>
                  </w:pPr>
                  <w:r w:rsidRPr="009E7B6A">
                    <w:rPr>
                      <w:rFonts w:ascii="Times New Roman" w:hAnsi="Times New Roman"/>
                      <w:color w:val="FFFF00"/>
                      <w:sz w:val="28"/>
                      <w:szCs w:val="28"/>
                      <w:lang w:val="uz-Cyrl-UZ"/>
                    </w:rPr>
                    <w:t>(</w:t>
                  </w:r>
                  <w:r w:rsidRPr="009E7B6A">
                    <w:rPr>
                      <w:rFonts w:ascii="Times New Roman" w:hAnsi="Times New Roman"/>
                      <w:color w:val="FFFF00"/>
                      <w:sz w:val="28"/>
                      <w:szCs w:val="28"/>
                      <w:lang w:val="en-US"/>
                    </w:rPr>
                    <w:t>n=</w:t>
                  </w:r>
                  <w:r>
                    <w:rPr>
                      <w:rFonts w:ascii="Times New Roman" w:hAnsi="Times New Roman"/>
                      <w:color w:val="FFFF00"/>
                      <w:sz w:val="28"/>
                      <w:szCs w:val="28"/>
                    </w:rPr>
                    <w:t>8</w:t>
                  </w:r>
                  <w:r w:rsidRPr="009E7B6A">
                    <w:rPr>
                      <w:rFonts w:ascii="Times New Roman" w:hAnsi="Times New Roman"/>
                      <w:color w:val="FFFF00"/>
                      <w:sz w:val="28"/>
                      <w:szCs w:val="28"/>
                      <w:lang w:val="en-US"/>
                    </w:rPr>
                    <w:t>0)</w:t>
                  </w:r>
                </w:p>
                <w:p w:rsidR="001E3562" w:rsidRPr="009E7B6A" w:rsidRDefault="001E3562" w:rsidP="00C328C9">
                  <w:pPr>
                    <w:jc w:val="center"/>
                    <w:rPr>
                      <w:lang w:val="uz-Cyrl-UZ"/>
                    </w:rPr>
                  </w:pPr>
                </w:p>
              </w:txbxContent>
            </v:textbox>
          </v:roundrect>
        </w:pict>
      </w:r>
    </w:p>
    <w:p w:rsidR="00C328C9" w:rsidRPr="00A11646" w:rsidRDefault="00C328C9" w:rsidP="00C328C9">
      <w:pPr>
        <w:autoSpaceDE w:val="0"/>
        <w:autoSpaceDN w:val="0"/>
        <w:adjustRightInd w:val="0"/>
        <w:spacing w:after="0" w:line="360" w:lineRule="auto"/>
        <w:ind w:firstLine="708"/>
        <w:jc w:val="right"/>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right"/>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right"/>
        <w:rPr>
          <w:rFonts w:ascii="Times New Roman" w:hAnsi="Times New Roman"/>
          <w:sz w:val="28"/>
          <w:szCs w:val="28"/>
        </w:rPr>
      </w:pPr>
    </w:p>
    <w:p w:rsidR="00C328C9" w:rsidRPr="00A11646" w:rsidRDefault="00A32487" w:rsidP="00C328C9">
      <w:pPr>
        <w:autoSpaceDE w:val="0"/>
        <w:autoSpaceDN w:val="0"/>
        <w:adjustRightInd w:val="0"/>
        <w:spacing w:after="0" w:line="360" w:lineRule="auto"/>
        <w:ind w:firstLine="708"/>
        <w:jc w:val="right"/>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Прямая со стрелкой 7" o:spid="_x0000_s1034" type="#_x0000_t32" style="position:absolute;left:0;text-align:left;margin-left:88.35pt;margin-top:.95pt;width:.6pt;height:23.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" strokecolor="#4579b8 [3044]">
            <v:stroke endarrow="block"/>
            <o:lock v:ext="edit" shapetype="f"/>
          </v:shape>
        </w:pict>
      </w:r>
    </w:p>
    <w:p w:rsidR="00C328C9" w:rsidRPr="00A11646" w:rsidRDefault="00A32487" w:rsidP="00C328C9">
      <w:pPr>
        <w:autoSpaceDE w:val="0"/>
        <w:autoSpaceDN w:val="0"/>
        <w:adjustRightInd w:val="0"/>
        <w:spacing w:after="0" w:line="360" w:lineRule="auto"/>
        <w:ind w:firstLine="708"/>
        <w:jc w:val="both"/>
        <w:rPr>
          <w:rFonts w:ascii="Times New Roman" w:hAnsi="Times New Roman"/>
          <w:sz w:val="28"/>
          <w:szCs w:val="28"/>
        </w:rPr>
      </w:pPr>
      <w:r w:rsidRPr="00A32487">
        <w:rPr>
          <w:rFonts w:ascii="Times New Roman" w:hAnsi="Times New Roman"/>
          <w:b/>
          <w:noProof/>
          <w:sz w:val="28"/>
          <w:szCs w:val="28"/>
        </w:rPr>
        <w:pict>
          <v:roundrect id="Прямоугольник: скругленные углы 10" o:spid="_x0000_s1029" style="position:absolute;left:0;text-align:left;margin-left:-18.45pt;margin-top:27.8pt;width:3in;height:93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" fillcolor="#4f81bd [3204]" strokecolor="#243f60 [1604]" strokeweight="2pt">
            <v:path arrowok="t"/>
            <v:textbox>
              <w:txbxContent>
                <w:p w:rsidR="001E3562" w:rsidRPr="009E7B6A" w:rsidRDefault="001E3562" w:rsidP="00C328C9">
                  <w:pPr>
                    <w:jc w:val="center"/>
                    <w:rPr>
                      <w:rFonts w:ascii="Times New Roman" w:hAnsi="Times New Roman"/>
                      <w:color w:val="FFFF00"/>
                      <w:sz w:val="28"/>
                      <w:szCs w:val="28"/>
                    </w:rPr>
                  </w:pPr>
                  <w:bookmarkStart w:id="37" w:name="_Hlk5472878"/>
                  <w:bookmarkStart w:id="38" w:name="_Hlk5472879"/>
                  <w:r w:rsidRPr="009E7B6A">
                    <w:rPr>
                      <w:rFonts w:ascii="Times New Roman" w:hAnsi="Times New Roman"/>
                      <w:color w:val="FFFF00"/>
                      <w:sz w:val="28"/>
                      <w:szCs w:val="28"/>
                    </w:rPr>
                    <w:t>«А» - подгруппа, больные ММ, получавшие ПХТ по протоколу VCD  4 курса</w:t>
                  </w:r>
                  <w:bookmarkEnd w:id="37"/>
                  <w:bookmarkEnd w:id="38"/>
                </w:p>
              </w:txbxContent>
            </v:textbox>
          </v:roundrect>
        </w:pict>
      </w:r>
      <w:r w:rsidRPr="00A32487">
        <w:rPr>
          <w:rFonts w:ascii="Times New Roman" w:hAnsi="Times New Roman"/>
          <w:b/>
          <w:noProof/>
          <w:sz w:val="28"/>
          <w:szCs w:val="28"/>
        </w:rPr>
        <w:pict>
          <v:shape id="Прямая со стрелкой 9" o:spid="_x0000_s1033" type="#_x0000_t32" style="position:absolute;left:0;text-align:left;margin-left:395.55pt;margin-top:2.6pt;width:.6pt;height:26.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" strokecolor="#4a7ebb">
            <v:stroke endarrow="block"/>
            <o:lock v:ext="edit" shapetype="f"/>
          </v:shape>
        </w:pict>
      </w:r>
      <w:r w:rsidRPr="00A32487">
        <w:rPr>
          <w:rFonts w:ascii="Times New Roman" w:hAnsi="Times New Roman"/>
          <w:b/>
          <w:noProof/>
          <w:sz w:val="28"/>
          <w:szCs w:val="28"/>
        </w:rPr>
        <w:pict>
          <v:shape id="Прямая со стрелкой 8" o:spid="_x0000_s1032" type="#_x0000_t32" style="position:absolute;left:0;text-align:left;margin-left:42.75pt;margin-top:1.4pt;width:.6pt;height:26.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" strokecolor="#4579b8 [3044]">
            <v:stroke endarrow="block"/>
            <o:lock v:ext="edit" shapetype="f"/>
          </v:shape>
        </w:pict>
      </w:r>
      <w:r w:rsidRPr="00A32487">
        <w:rPr>
          <w:rFonts w:ascii="Times New Roman" w:hAnsi="Times New Roman"/>
          <w:b/>
          <w:noProof/>
          <w:sz w:val="28"/>
          <w:szCs w:val="28"/>
        </w:rPr>
        <w:pict>
          <v:line id="Прямая соединительная линия 6" o:spid="_x0000_s1031" style="position:absolute;left:0;text-align:left;z-index:251693056;visibility:visible;mso-width-relative:margin;mso-height-relative:margin" from="42.75pt,.2pt" to="39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" strokecolor="#4579b8 [3044]">
            <o:lock v:ext="edit" shapetype="f"/>
          </v:line>
        </w:pict>
      </w:r>
    </w:p>
    <w:p w:rsidR="00C328C9" w:rsidRPr="00A11646" w:rsidRDefault="00A32487" w:rsidP="00C328C9">
      <w:pPr>
        <w:autoSpaceDE w:val="0"/>
        <w:autoSpaceDN w:val="0"/>
        <w:adjustRightInd w:val="0"/>
        <w:spacing w:after="0" w:line="360" w:lineRule="auto"/>
        <w:ind w:firstLine="708"/>
        <w:jc w:val="center"/>
        <w:rPr>
          <w:rFonts w:ascii="Times New Roman" w:hAnsi="Times New Roman"/>
          <w:b/>
          <w:sz w:val="28"/>
          <w:szCs w:val="28"/>
        </w:rPr>
      </w:pPr>
      <w:r>
        <w:rPr>
          <w:rFonts w:ascii="Times New Roman" w:hAnsi="Times New Roman"/>
          <w:b/>
          <w:noProof/>
          <w:sz w:val="28"/>
          <w:szCs w:val="28"/>
        </w:rPr>
        <w:pict>
          <v:roundrect id="Прямоугольник: скругленные углы 11" o:spid="_x0000_s1030" style="position:absolute;left:0;text-align:left;margin-left:262.35pt;margin-top:6.05pt;width:218.4pt;height:93.6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" fillcolor="#4f81bd" strokecolor="#385d8a" strokeweight="2pt">
            <v:path arrowok="t"/>
            <v:textbox>
              <w:txbxContent>
                <w:p w:rsidR="001E3562" w:rsidRPr="009E7B6A" w:rsidRDefault="001E3562" w:rsidP="00C328C9">
                  <w:pPr>
                    <w:jc w:val="center"/>
                    <w:rPr>
                      <w:rFonts w:ascii="Times New Roman" w:hAnsi="Times New Roman"/>
                      <w:color w:val="FFFF00"/>
                      <w:sz w:val="28"/>
                      <w:szCs w:val="28"/>
                    </w:rPr>
                  </w:pPr>
                  <w:r w:rsidRPr="009E7B6A">
                    <w:rPr>
                      <w:rFonts w:ascii="Times New Roman" w:hAnsi="Times New Roman"/>
                      <w:color w:val="FFFF00"/>
                      <w:sz w:val="28"/>
                      <w:szCs w:val="28"/>
                    </w:rPr>
                    <w:t>«</w:t>
                  </w:r>
                  <w:r>
                    <w:rPr>
                      <w:rFonts w:ascii="Times New Roman" w:hAnsi="Times New Roman"/>
                      <w:color w:val="FFFF00"/>
                      <w:sz w:val="28"/>
                      <w:szCs w:val="28"/>
                    </w:rPr>
                    <w:t>Б</w:t>
                  </w:r>
                  <w:r w:rsidRPr="009E7B6A">
                    <w:rPr>
                      <w:rFonts w:ascii="Times New Roman" w:hAnsi="Times New Roman"/>
                      <w:color w:val="FFFF00"/>
                      <w:sz w:val="28"/>
                      <w:szCs w:val="28"/>
                    </w:rPr>
                    <w:t>» - подгруппа, больные ММ, получавшие ПХТ по протоколу VCD  4 курса и аутоТГСК</w:t>
                  </w:r>
                </w:p>
                <w:p w:rsidR="001E3562" w:rsidRDefault="001E3562" w:rsidP="00C328C9">
                  <w:pPr>
                    <w:jc w:val="center"/>
                  </w:pPr>
                </w:p>
              </w:txbxContent>
            </v:textbox>
          </v:roundrect>
        </w:pict>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p>
    <w:p w:rsidR="00C328C9" w:rsidRDefault="00C328C9" w:rsidP="00C328C9">
      <w:pPr>
        <w:autoSpaceDE w:val="0"/>
        <w:autoSpaceDN w:val="0"/>
        <w:adjustRightInd w:val="0"/>
        <w:spacing w:after="0" w:line="360" w:lineRule="auto"/>
        <w:ind w:firstLine="708"/>
        <w:jc w:val="center"/>
        <w:rPr>
          <w:rFonts w:ascii="Times New Roman" w:hAnsi="Times New Roman"/>
          <w:b/>
          <w:sz w:val="28"/>
          <w:szCs w:val="28"/>
        </w:rPr>
      </w:pPr>
    </w:p>
    <w:p w:rsidR="00E41F46" w:rsidRPr="00A11646" w:rsidRDefault="00E41F46" w:rsidP="00C328C9">
      <w:pPr>
        <w:autoSpaceDE w:val="0"/>
        <w:autoSpaceDN w:val="0"/>
        <w:adjustRightInd w:val="0"/>
        <w:spacing w:after="0" w:line="360" w:lineRule="auto"/>
        <w:ind w:firstLine="708"/>
        <w:jc w:val="center"/>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r w:rsidRPr="00A11646">
        <w:rPr>
          <w:rFonts w:ascii="Times New Roman" w:hAnsi="Times New Roman"/>
          <w:b/>
          <w:sz w:val="28"/>
          <w:szCs w:val="28"/>
        </w:rPr>
        <w:lastRenderedPageBreak/>
        <w:t>§2.2.Характеристика методов исследования</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В соответствии с определенной целью и поставленными задачами диссертационной работы были проведены следующие методы исследования:</w:t>
      </w:r>
    </w:p>
    <w:p w:rsidR="00C328C9" w:rsidRPr="00A11646" w:rsidRDefault="00C328C9" w:rsidP="00C328C9">
      <w:pPr>
        <w:shd w:val="clear" w:color="auto" w:fill="FFFFFF"/>
        <w:spacing w:after="0" w:line="360" w:lineRule="auto"/>
        <w:ind w:firstLine="709"/>
        <w:jc w:val="center"/>
        <w:rPr>
          <w:rFonts w:ascii="Times New Roman" w:hAnsi="Times New Roman"/>
          <w:b/>
          <w:sz w:val="28"/>
          <w:szCs w:val="28"/>
        </w:rPr>
      </w:pPr>
      <w:bookmarkStart w:id="39" w:name="_Hlk5473567"/>
      <w:r w:rsidRPr="00A11646">
        <w:rPr>
          <w:rFonts w:ascii="Times New Roman" w:hAnsi="Times New Roman"/>
          <w:b/>
          <w:sz w:val="28"/>
          <w:szCs w:val="28"/>
        </w:rPr>
        <w:t>2.2.1. Методы клинического обследования больных ММ</w:t>
      </w:r>
    </w:p>
    <w:bookmarkEnd w:id="39"/>
    <w:p w:rsidR="00C328C9" w:rsidRPr="00A11646" w:rsidRDefault="00C328C9" w:rsidP="00C328C9">
      <w:pPr>
        <w:pStyle w:val="a5"/>
        <w:numPr>
          <w:ilvl w:val="0"/>
          <w:numId w:val="2"/>
        </w:numPr>
        <w:shd w:val="clear" w:color="auto" w:fill="FFFFFF"/>
        <w:spacing w:after="0" w:line="360" w:lineRule="auto"/>
        <w:jc w:val="both"/>
        <w:rPr>
          <w:rFonts w:ascii="Times New Roman" w:hAnsi="Times New Roman" w:cs="Times New Roman"/>
          <w:sz w:val="28"/>
          <w:szCs w:val="28"/>
        </w:rPr>
      </w:pPr>
      <w:r w:rsidRPr="00A11646">
        <w:rPr>
          <w:rFonts w:ascii="Times New Roman" w:hAnsi="Times New Roman" w:cs="Times New Roman"/>
          <w:sz w:val="28"/>
          <w:szCs w:val="28"/>
        </w:rPr>
        <w:t>Клиническое обследование больных включало:</w:t>
      </w:r>
    </w:p>
    <w:p w:rsidR="00C328C9" w:rsidRPr="00A11646" w:rsidRDefault="00C328C9" w:rsidP="00C328C9">
      <w:pPr>
        <w:shd w:val="clear" w:color="auto" w:fill="FFFFFF"/>
        <w:spacing w:after="0" w:line="360" w:lineRule="auto"/>
        <w:ind w:firstLine="568"/>
        <w:jc w:val="both"/>
        <w:rPr>
          <w:rFonts w:ascii="Times New Roman" w:hAnsi="Times New Roman"/>
          <w:spacing w:val="-1"/>
          <w:sz w:val="28"/>
          <w:szCs w:val="28"/>
        </w:rPr>
      </w:pPr>
      <w:r w:rsidRPr="00A11646">
        <w:rPr>
          <w:rFonts w:ascii="Times New Roman" w:hAnsi="Times New Roman"/>
          <w:sz w:val="28"/>
          <w:szCs w:val="28"/>
        </w:rPr>
        <w:t xml:space="preserve">- Подробный специализированный сбор анамнеза с детализацией жалоб, наличием подобных жалоб и онкогематологических заболеваний в анамнезе у близких родственников.  </w:t>
      </w:r>
    </w:p>
    <w:p w:rsidR="00C328C9" w:rsidRPr="00A11646" w:rsidRDefault="00C328C9" w:rsidP="00C328C9">
      <w:pPr>
        <w:shd w:val="clear" w:color="auto" w:fill="FFFFFF"/>
        <w:spacing w:after="0" w:line="360" w:lineRule="auto"/>
        <w:ind w:firstLine="568"/>
        <w:jc w:val="both"/>
        <w:rPr>
          <w:rFonts w:ascii="Times New Roman" w:hAnsi="Times New Roman"/>
          <w:spacing w:val="-1"/>
          <w:sz w:val="28"/>
          <w:szCs w:val="28"/>
        </w:rPr>
      </w:pPr>
      <w:r w:rsidRPr="00A11646">
        <w:rPr>
          <w:rFonts w:ascii="Times New Roman" w:hAnsi="Times New Roman"/>
          <w:spacing w:val="-1"/>
          <w:sz w:val="28"/>
          <w:szCs w:val="28"/>
        </w:rPr>
        <w:t xml:space="preserve">- Общий клинический осмотр пациента: </w:t>
      </w:r>
      <w:r w:rsidRPr="00A11646">
        <w:rPr>
          <w:rFonts w:ascii="Times New Roman CYR" w:hAnsi="Times New Roman CYR" w:cs="Times New Roman CYR"/>
          <w:sz w:val="26"/>
          <w:szCs w:val="26"/>
        </w:rPr>
        <w:t>общее состояние пациента, осмотр кожных покровов и видимых слизистых оболочек, пальпацию периферических лимфатических узлов, осмотр и пальпацию скелетной системы, наличие отеков, болезненность в области проекции почек.</w:t>
      </w:r>
    </w:p>
    <w:p w:rsidR="00C328C9" w:rsidRPr="00A11646" w:rsidRDefault="00C328C9" w:rsidP="00C328C9">
      <w:pPr>
        <w:shd w:val="clear" w:color="auto" w:fill="FFFFFF"/>
        <w:autoSpaceDE w:val="0"/>
        <w:autoSpaceDN w:val="0"/>
        <w:adjustRightInd w:val="0"/>
        <w:spacing w:before="225" w:after="0" w:line="360" w:lineRule="auto"/>
        <w:ind w:right="50"/>
        <w:jc w:val="center"/>
        <w:rPr>
          <w:rFonts w:ascii="Times New Roman" w:hAnsi="Times New Roman"/>
          <w:b/>
          <w:sz w:val="28"/>
          <w:szCs w:val="28"/>
        </w:rPr>
      </w:pPr>
      <w:bookmarkStart w:id="40" w:name="_Hlk8233611"/>
      <w:r w:rsidRPr="00A11646">
        <w:rPr>
          <w:rFonts w:ascii="Times New Roman" w:hAnsi="Times New Roman"/>
          <w:b/>
          <w:sz w:val="28"/>
          <w:szCs w:val="28"/>
        </w:rPr>
        <w:t>2.2.2. Методы лабораторного обследования больных ММ</w:t>
      </w:r>
    </w:p>
    <w:bookmarkEnd w:id="40"/>
    <w:p w:rsidR="00C328C9" w:rsidRPr="00A11646" w:rsidRDefault="00C328C9" w:rsidP="00C328C9">
      <w:pPr>
        <w:pStyle w:val="a5"/>
        <w:numPr>
          <w:ilvl w:val="0"/>
          <w:numId w:val="3"/>
        </w:numPr>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lang w:val="uz-Cyrl-UZ"/>
        </w:rPr>
        <w:t>Общий к</w:t>
      </w:r>
      <w:r w:rsidRPr="00A11646">
        <w:rPr>
          <w:rFonts w:ascii="Times New Roman" w:hAnsi="Times New Roman" w:cs="Times New Roman"/>
          <w:sz w:val="28"/>
          <w:szCs w:val="28"/>
        </w:rPr>
        <w:t xml:space="preserve">линический анализ крови (определение концентрации гемоглобина, подсчет количества эритроцитов, цветового показателя, тромбоцитов, лейкоцитов, скорости оседания эритроцитов) выполнялся с помощью гематологического анализатора </w:t>
      </w:r>
      <w:bookmarkStart w:id="41" w:name="_Hlk22921032"/>
      <w:r w:rsidRPr="00A11646">
        <w:rPr>
          <w:rFonts w:ascii="Times New Roman" w:hAnsi="Times New Roman" w:cs="Times New Roman"/>
          <w:sz w:val="28"/>
          <w:szCs w:val="28"/>
          <w:lang w:val="en-US"/>
        </w:rPr>
        <w:t>Mindray</w:t>
      </w:r>
      <w:r w:rsidRPr="00A11646">
        <w:rPr>
          <w:rFonts w:ascii="Times New Roman" w:hAnsi="Times New Roman" w:cs="Times New Roman"/>
          <w:sz w:val="28"/>
          <w:szCs w:val="28"/>
        </w:rPr>
        <w:t xml:space="preserve"> (</w:t>
      </w:r>
      <w:r w:rsidRPr="00A11646">
        <w:rPr>
          <w:rFonts w:ascii="Times New Roman" w:hAnsi="Times New Roman" w:cs="Times New Roman"/>
          <w:sz w:val="28"/>
          <w:szCs w:val="28"/>
          <w:lang w:val="en-US"/>
        </w:rPr>
        <w:t>China</w:t>
      </w:r>
      <w:r w:rsidRPr="00A11646">
        <w:rPr>
          <w:rFonts w:ascii="Times New Roman" w:hAnsi="Times New Roman" w:cs="Times New Roman"/>
          <w:sz w:val="28"/>
          <w:szCs w:val="28"/>
        </w:rPr>
        <w:t>)</w:t>
      </w:r>
      <w:bookmarkEnd w:id="41"/>
      <w:r w:rsidR="00A9422A">
        <w:rPr>
          <w:rFonts w:ascii="Times New Roman" w:hAnsi="Times New Roman" w:cs="Times New Roman"/>
          <w:sz w:val="28"/>
          <w:szCs w:val="28"/>
          <w:lang w:val="uz-Cyrl-UZ"/>
        </w:rPr>
        <w:t xml:space="preserve"> </w:t>
      </w:r>
      <w:r w:rsidRPr="00A11646">
        <w:rPr>
          <w:rFonts w:ascii="Times New Roman" w:hAnsi="Times New Roman" w:cs="Times New Roman"/>
          <w:sz w:val="28"/>
          <w:szCs w:val="28"/>
        </w:rPr>
        <w:t>с последующим морфологическим изучением  мазка периферической крови и подсчетом лейкоцитарной формулы на микроскопе</w:t>
      </w:r>
      <w:bookmarkStart w:id="42" w:name="_Hlk22920975"/>
      <w:r w:rsidR="00A9422A">
        <w:rPr>
          <w:rFonts w:ascii="Times New Roman" w:hAnsi="Times New Roman" w:cs="Times New Roman"/>
          <w:sz w:val="28"/>
          <w:szCs w:val="28"/>
          <w:lang w:val="uz-Cyrl-UZ"/>
        </w:rPr>
        <w:t xml:space="preserve"> </w:t>
      </w:r>
      <w:r w:rsidRPr="00A11646">
        <w:rPr>
          <w:rFonts w:ascii="Times New Roman" w:hAnsi="Times New Roman" w:cs="Times New Roman"/>
          <w:sz w:val="28"/>
          <w:szCs w:val="28"/>
          <w:lang w:val="en-US"/>
        </w:rPr>
        <w:t>N</w:t>
      </w:r>
      <w:r w:rsidRPr="00A11646">
        <w:rPr>
          <w:rFonts w:ascii="Times New Roman" w:hAnsi="Times New Roman" w:cs="Times New Roman"/>
          <w:sz w:val="28"/>
          <w:szCs w:val="28"/>
        </w:rPr>
        <w:t>-300</w:t>
      </w:r>
      <w:r w:rsidRPr="00A11646">
        <w:rPr>
          <w:rFonts w:ascii="Times New Roman" w:hAnsi="Times New Roman" w:cs="Times New Roman"/>
          <w:sz w:val="28"/>
          <w:szCs w:val="28"/>
          <w:lang w:val="en-US"/>
        </w:rPr>
        <w:t>M</w:t>
      </w:r>
      <w:bookmarkEnd w:id="42"/>
      <w:r w:rsidRPr="00A11646">
        <w:rPr>
          <w:rFonts w:ascii="Times New Roman" w:hAnsi="Times New Roman" w:cs="Times New Roman"/>
          <w:sz w:val="28"/>
          <w:szCs w:val="28"/>
        </w:rPr>
        <w:t>;</w:t>
      </w:r>
    </w:p>
    <w:p w:rsidR="00C328C9" w:rsidRPr="00A11646" w:rsidRDefault="00C328C9" w:rsidP="00C328C9">
      <w:pPr>
        <w:pStyle w:val="a5"/>
        <w:numPr>
          <w:ilvl w:val="0"/>
          <w:numId w:val="3"/>
        </w:numPr>
        <w:autoSpaceDE w:val="0"/>
        <w:autoSpaceDN w:val="0"/>
        <w:adjustRightInd w:val="0"/>
        <w:spacing w:after="0" w:line="360" w:lineRule="auto"/>
        <w:ind w:left="0" w:firstLine="709"/>
        <w:jc w:val="both"/>
        <w:rPr>
          <w:rFonts w:ascii="Times New Roman" w:hAnsi="Times New Roman" w:cs="Times New Roman"/>
          <w:b/>
          <w:sz w:val="28"/>
          <w:szCs w:val="28"/>
        </w:rPr>
      </w:pPr>
      <w:bookmarkStart w:id="43" w:name="_Hlk20247689"/>
      <w:r w:rsidRPr="00A11646">
        <w:rPr>
          <w:rFonts w:ascii="Times New Roman" w:hAnsi="Times New Roman" w:cs="Times New Roman"/>
          <w:sz w:val="28"/>
          <w:szCs w:val="28"/>
        </w:rPr>
        <w:t>Морфологическое изучение мазка костного мозга (</w:t>
      </w:r>
      <w:r w:rsidRPr="00A11646">
        <w:rPr>
          <w:rFonts w:ascii="Times New Roman" w:hAnsi="Times New Roman" w:cs="Times New Roman"/>
          <w:sz w:val="28"/>
          <w:szCs w:val="28"/>
          <w:lang w:val="uz-Cyrl-UZ"/>
        </w:rPr>
        <w:t>подсчет количества плазмоцитов</w:t>
      </w:r>
      <w:r w:rsidRPr="00A11646">
        <w:rPr>
          <w:rFonts w:ascii="Times New Roman" w:hAnsi="Times New Roman" w:cs="Times New Roman"/>
          <w:sz w:val="28"/>
          <w:szCs w:val="28"/>
        </w:rPr>
        <w:t>)</w:t>
      </w:r>
      <w:bookmarkEnd w:id="43"/>
      <w:r w:rsidRPr="00A11646">
        <w:rPr>
          <w:rFonts w:ascii="Times New Roman" w:hAnsi="Times New Roman" w:cs="Times New Roman"/>
          <w:sz w:val="28"/>
          <w:szCs w:val="28"/>
        </w:rPr>
        <w:t xml:space="preserve"> выполнялось на микроскопе N-300M, с последующим </w:t>
      </w:r>
      <w:r w:rsidRPr="00A11646">
        <w:rPr>
          <w:rFonts w:ascii="Times New Roman" w:hAnsi="Times New Roman" w:cs="Times New Roman"/>
          <w:sz w:val="28"/>
          <w:szCs w:val="28"/>
          <w:lang w:val="uz-Cyrl-UZ"/>
        </w:rPr>
        <w:t xml:space="preserve">его </w:t>
      </w:r>
      <w:r w:rsidRPr="00A11646">
        <w:rPr>
          <w:rFonts w:ascii="Times New Roman" w:hAnsi="Times New Roman" w:cs="Times New Roman"/>
          <w:sz w:val="28"/>
          <w:szCs w:val="28"/>
        </w:rPr>
        <w:t>цитохимическим исследованием (табл.2.2.2.1.)</w:t>
      </w:r>
      <w:r w:rsidRPr="00A11646">
        <w:rPr>
          <w:rFonts w:ascii="Times New Roman" w:hAnsi="Times New Roman" w:cs="Times New Roman"/>
          <w:sz w:val="28"/>
          <w:szCs w:val="28"/>
          <w:lang w:val="uz-Cyrl-UZ"/>
        </w:rPr>
        <w:t>;</w:t>
      </w:r>
    </w:p>
    <w:p w:rsidR="00C328C9" w:rsidRDefault="00C328C9" w:rsidP="00C328C9">
      <w:pPr>
        <w:autoSpaceDE w:val="0"/>
        <w:autoSpaceDN w:val="0"/>
        <w:adjustRightInd w:val="0"/>
        <w:spacing w:after="0" w:line="360" w:lineRule="auto"/>
        <w:jc w:val="both"/>
        <w:rPr>
          <w:rFonts w:ascii="Times New Roman" w:hAnsi="Times New Roman"/>
          <w:b/>
          <w:sz w:val="28"/>
          <w:szCs w:val="28"/>
        </w:rPr>
      </w:pPr>
    </w:p>
    <w:p w:rsidR="00E41F46" w:rsidRDefault="00E41F46" w:rsidP="00C328C9">
      <w:pPr>
        <w:autoSpaceDE w:val="0"/>
        <w:autoSpaceDN w:val="0"/>
        <w:adjustRightInd w:val="0"/>
        <w:spacing w:after="0" w:line="360" w:lineRule="auto"/>
        <w:jc w:val="both"/>
        <w:rPr>
          <w:rFonts w:ascii="Times New Roman" w:hAnsi="Times New Roman"/>
          <w:b/>
          <w:sz w:val="28"/>
          <w:szCs w:val="28"/>
        </w:rPr>
      </w:pPr>
    </w:p>
    <w:p w:rsidR="00E41F46" w:rsidRDefault="00E41F46" w:rsidP="00C328C9">
      <w:pPr>
        <w:autoSpaceDE w:val="0"/>
        <w:autoSpaceDN w:val="0"/>
        <w:adjustRightInd w:val="0"/>
        <w:spacing w:after="0" w:line="360" w:lineRule="auto"/>
        <w:jc w:val="both"/>
        <w:rPr>
          <w:rFonts w:ascii="Times New Roman" w:hAnsi="Times New Roman"/>
          <w:b/>
          <w:sz w:val="28"/>
          <w:szCs w:val="28"/>
        </w:rPr>
      </w:pPr>
    </w:p>
    <w:p w:rsidR="00E41F46" w:rsidRDefault="00E41F46" w:rsidP="00C328C9">
      <w:pPr>
        <w:autoSpaceDE w:val="0"/>
        <w:autoSpaceDN w:val="0"/>
        <w:adjustRightInd w:val="0"/>
        <w:spacing w:after="0" w:line="360" w:lineRule="auto"/>
        <w:jc w:val="both"/>
        <w:rPr>
          <w:rFonts w:ascii="Times New Roman" w:hAnsi="Times New Roman"/>
          <w:b/>
          <w:sz w:val="28"/>
          <w:szCs w:val="28"/>
        </w:rPr>
      </w:pPr>
    </w:p>
    <w:p w:rsidR="00E41F46" w:rsidRDefault="00E41F46" w:rsidP="00C328C9">
      <w:pPr>
        <w:autoSpaceDE w:val="0"/>
        <w:autoSpaceDN w:val="0"/>
        <w:adjustRightInd w:val="0"/>
        <w:spacing w:after="0" w:line="360" w:lineRule="auto"/>
        <w:jc w:val="both"/>
        <w:rPr>
          <w:rFonts w:ascii="Times New Roman" w:hAnsi="Times New Roman"/>
          <w:b/>
          <w:sz w:val="28"/>
          <w:szCs w:val="28"/>
        </w:rPr>
      </w:pPr>
    </w:p>
    <w:p w:rsidR="00E41F46" w:rsidRPr="00A11646" w:rsidRDefault="00E41F46" w:rsidP="00C328C9">
      <w:pPr>
        <w:autoSpaceDE w:val="0"/>
        <w:autoSpaceDN w:val="0"/>
        <w:adjustRightInd w:val="0"/>
        <w:spacing w:after="0" w:line="360" w:lineRule="auto"/>
        <w:jc w:val="both"/>
        <w:rPr>
          <w:rFonts w:ascii="Times New Roman" w:hAnsi="Times New Roman"/>
          <w:b/>
          <w:sz w:val="28"/>
          <w:szCs w:val="28"/>
        </w:rPr>
      </w:pPr>
    </w:p>
    <w:p w:rsidR="00C328C9" w:rsidRPr="00A11646" w:rsidRDefault="00C328C9" w:rsidP="00C328C9">
      <w:pPr>
        <w:autoSpaceDE w:val="0"/>
        <w:autoSpaceDN w:val="0"/>
        <w:adjustRightInd w:val="0"/>
        <w:spacing w:after="0" w:line="360" w:lineRule="auto"/>
        <w:jc w:val="right"/>
        <w:rPr>
          <w:rFonts w:ascii="Times New Roman" w:hAnsi="Times New Roman"/>
          <w:b/>
          <w:sz w:val="28"/>
          <w:szCs w:val="28"/>
        </w:rPr>
      </w:pPr>
      <w:r w:rsidRPr="00A11646">
        <w:rPr>
          <w:rFonts w:ascii="Times New Roman" w:hAnsi="Times New Roman"/>
          <w:b/>
          <w:sz w:val="28"/>
          <w:szCs w:val="28"/>
        </w:rPr>
        <w:lastRenderedPageBreak/>
        <w:t>Таблица 2.2.2.1.</w:t>
      </w:r>
    </w:p>
    <w:p w:rsidR="00C328C9" w:rsidRPr="00A11646" w:rsidRDefault="00C328C9" w:rsidP="00C328C9">
      <w:pPr>
        <w:autoSpaceDE w:val="0"/>
        <w:autoSpaceDN w:val="0"/>
        <w:adjustRightInd w:val="0"/>
        <w:spacing w:after="0" w:line="360" w:lineRule="auto"/>
        <w:jc w:val="center"/>
        <w:rPr>
          <w:rFonts w:ascii="Times New Roman" w:hAnsi="Times New Roman"/>
          <w:b/>
          <w:sz w:val="28"/>
          <w:szCs w:val="28"/>
        </w:rPr>
      </w:pPr>
      <w:bookmarkStart w:id="44" w:name="_Hlk6067265"/>
      <w:r w:rsidRPr="00A11646">
        <w:rPr>
          <w:rFonts w:ascii="Times New Roman" w:hAnsi="Times New Roman"/>
          <w:b/>
          <w:sz w:val="28"/>
          <w:szCs w:val="28"/>
        </w:rPr>
        <w:t xml:space="preserve">Средние значения показателей </w:t>
      </w:r>
      <w:bookmarkEnd w:id="44"/>
      <w:r w:rsidRPr="00A11646">
        <w:rPr>
          <w:rFonts w:ascii="Times New Roman" w:hAnsi="Times New Roman"/>
          <w:b/>
          <w:sz w:val="28"/>
          <w:szCs w:val="28"/>
        </w:rPr>
        <w:t>периферической крови и костного мозга в контрольной группе(</w:t>
      </w:r>
      <w:r w:rsidRPr="00A11646">
        <w:rPr>
          <w:rFonts w:ascii="Times New Roman" w:hAnsi="Times New Roman"/>
          <w:b/>
          <w:sz w:val="28"/>
          <w:szCs w:val="28"/>
          <w:lang w:val="en-US"/>
        </w:rPr>
        <w:t>M</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w:t>
      </w:r>
    </w:p>
    <w:tbl>
      <w:tblPr>
        <w:tblW w:w="5000" w:type="pct"/>
        <w:tblLayout w:type="fixed"/>
        <w:tblLook w:val="0000"/>
      </w:tblPr>
      <w:tblGrid>
        <w:gridCol w:w="550"/>
        <w:gridCol w:w="551"/>
        <w:gridCol w:w="1223"/>
        <w:gridCol w:w="1302"/>
        <w:gridCol w:w="1417"/>
        <w:gridCol w:w="1153"/>
        <w:gridCol w:w="1157"/>
        <w:gridCol w:w="1934"/>
      </w:tblGrid>
      <w:tr w:rsidR="00A11646" w:rsidRPr="00A11646" w:rsidTr="00B875EA">
        <w:trPr>
          <w:trHeight w:val="195"/>
        </w:trPr>
        <w:tc>
          <w:tcPr>
            <w:tcW w:w="1101" w:type="dxa"/>
            <w:gridSpan w:val="2"/>
            <w:vMerge w:val="restart"/>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Тип IG</w:t>
            </w:r>
          </w:p>
        </w:tc>
        <w:tc>
          <w:tcPr>
            <w:tcW w:w="8186" w:type="dxa"/>
            <w:gridSpan w:val="6"/>
            <w:tcBorders>
              <w:top w:val="single" w:sz="4" w:space="0" w:color="auto"/>
              <w:left w:val="nil"/>
              <w:bottom w:val="single" w:sz="4" w:space="0" w:color="auto"/>
              <w:right w:val="single" w:sz="4" w:space="0" w:color="auto"/>
            </w:tcBorders>
            <w:noWrap/>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Контрольная группа</w:t>
            </w:r>
          </w:p>
        </w:tc>
      </w:tr>
      <w:tr w:rsidR="00A11646" w:rsidRPr="00A11646" w:rsidTr="00B875EA">
        <w:trPr>
          <w:trHeight w:val="276"/>
        </w:trPr>
        <w:tc>
          <w:tcPr>
            <w:tcW w:w="1101" w:type="dxa"/>
            <w:gridSpan w:val="2"/>
            <w:vMerge/>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val="uz-Cyrl-UZ" w:eastAsia="ko-KR" w:bidi="pa-IN"/>
              </w:rPr>
            </w:pPr>
          </w:p>
        </w:tc>
        <w:tc>
          <w:tcPr>
            <w:tcW w:w="6252" w:type="dxa"/>
            <w:gridSpan w:val="5"/>
            <w:tcBorders>
              <w:top w:val="single" w:sz="4" w:space="0" w:color="auto"/>
              <w:left w:val="nil"/>
              <w:bottom w:val="single" w:sz="4" w:space="0" w:color="auto"/>
              <w:right w:val="single" w:sz="4" w:space="0" w:color="auto"/>
            </w:tcBorders>
            <w:noWrap/>
            <w:vAlign w:val="center"/>
          </w:tcPr>
          <w:p w:rsidR="00C328C9" w:rsidRPr="00A11646" w:rsidRDefault="00C328C9" w:rsidP="00C328C9">
            <w:pPr>
              <w:spacing w:after="0" w:line="360" w:lineRule="auto"/>
              <w:jc w:val="center"/>
              <w:rPr>
                <w:rFonts w:ascii="Times New Roman" w:eastAsia="Batang" w:hAnsi="Times New Roman"/>
                <w:sz w:val="28"/>
                <w:szCs w:val="24"/>
                <w:lang w:val="uz-Cyrl-UZ" w:eastAsia="ko-KR" w:bidi="pa-IN"/>
              </w:rPr>
            </w:pPr>
            <w:r w:rsidRPr="00A11646">
              <w:rPr>
                <w:rFonts w:ascii="Times New Roman" w:eastAsia="Batang" w:hAnsi="Times New Roman"/>
                <w:sz w:val="28"/>
                <w:szCs w:val="24"/>
                <w:lang w:val="uz-Cyrl-UZ" w:eastAsia="ko-KR" w:bidi="pa-IN"/>
              </w:rPr>
              <w:t>Периферическая кровь</w:t>
            </w:r>
          </w:p>
        </w:tc>
        <w:tc>
          <w:tcPr>
            <w:tcW w:w="1934" w:type="dxa"/>
            <w:tcBorders>
              <w:top w:val="single" w:sz="4" w:space="0" w:color="auto"/>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Костный мозг</w:t>
            </w:r>
          </w:p>
        </w:tc>
      </w:tr>
      <w:tr w:rsidR="00A11646" w:rsidRPr="00A11646" w:rsidTr="00B875EA">
        <w:trPr>
          <w:trHeight w:val="284"/>
        </w:trPr>
        <w:tc>
          <w:tcPr>
            <w:tcW w:w="1101" w:type="dxa"/>
            <w:gridSpan w:val="2"/>
            <w:vMerge/>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p>
        </w:tc>
        <w:tc>
          <w:tcPr>
            <w:tcW w:w="122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en-US" w:eastAsia="ko-KR" w:bidi="pa-IN"/>
              </w:rPr>
              <w:t>Hb</w:t>
            </w:r>
            <w:r w:rsidRPr="00A11646">
              <w:rPr>
                <w:rFonts w:ascii="Times New Roman" w:eastAsia="Batang" w:hAnsi="Times New Roman"/>
                <w:sz w:val="28"/>
                <w:szCs w:val="24"/>
                <w:lang w:eastAsia="ko-KR" w:bidi="pa-IN"/>
              </w:rPr>
              <w:t>, г/л</w:t>
            </w:r>
          </w:p>
        </w:tc>
        <w:tc>
          <w:tcPr>
            <w:tcW w:w="1302"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эрит</w:t>
            </w:r>
            <w:r w:rsidRPr="00A11646">
              <w:rPr>
                <w:rFonts w:ascii="Times New Roman" w:eastAsia="Batang" w:hAnsi="Times New Roman"/>
                <w:sz w:val="28"/>
                <w:szCs w:val="24"/>
                <w:lang w:eastAsia="ko-KR" w:bidi="pa-IN"/>
              </w:rPr>
              <w:t>, млн</w:t>
            </w:r>
          </w:p>
        </w:tc>
        <w:tc>
          <w:tcPr>
            <w:tcW w:w="141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тромб</w:t>
            </w:r>
            <w:r w:rsidRPr="00A11646">
              <w:rPr>
                <w:rFonts w:ascii="Times New Roman" w:eastAsia="Batang" w:hAnsi="Times New Roman"/>
                <w:sz w:val="28"/>
                <w:szCs w:val="24"/>
                <w:lang w:eastAsia="ko-KR" w:bidi="pa-IN"/>
              </w:rPr>
              <w:t>, тыс</w:t>
            </w:r>
          </w:p>
        </w:tc>
        <w:tc>
          <w:tcPr>
            <w:tcW w:w="115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лейк</w:t>
            </w:r>
            <w:r w:rsidRPr="00A11646">
              <w:rPr>
                <w:rFonts w:ascii="Times New Roman" w:eastAsia="Batang" w:hAnsi="Times New Roman"/>
                <w:sz w:val="28"/>
                <w:szCs w:val="24"/>
                <w:lang w:eastAsia="ko-KR" w:bidi="pa-IN"/>
              </w:rPr>
              <w:t>, тыс</w:t>
            </w:r>
          </w:p>
        </w:tc>
        <w:tc>
          <w:tcPr>
            <w:tcW w:w="115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СОЭ, мм/ч</w:t>
            </w:r>
          </w:p>
        </w:tc>
        <w:tc>
          <w:tcPr>
            <w:tcW w:w="1934"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Плазмоциты, %</w:t>
            </w:r>
          </w:p>
        </w:tc>
      </w:tr>
      <w:tr w:rsidR="00A11646" w:rsidRPr="00A11646" w:rsidTr="00B875EA">
        <w:trPr>
          <w:trHeight w:val="336"/>
        </w:trPr>
        <w:tc>
          <w:tcPr>
            <w:tcW w:w="550" w:type="dxa"/>
            <w:vMerge w:val="restart"/>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en-US" w:eastAsia="ko-KR" w:bidi="pa-IN"/>
              </w:rPr>
              <w:t>G</w:t>
            </w:r>
          </w:p>
        </w:tc>
        <w:tc>
          <w:tcPr>
            <w:tcW w:w="551"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κ</w:t>
            </w:r>
          </w:p>
        </w:tc>
        <w:tc>
          <w:tcPr>
            <w:tcW w:w="1223" w:type="dxa"/>
            <w:tcBorders>
              <w:top w:val="nil"/>
              <w:left w:val="nil"/>
              <w:bottom w:val="single" w:sz="4" w:space="0" w:color="auto"/>
              <w:right w:val="single" w:sz="4" w:space="0" w:color="auto"/>
            </w:tcBorders>
            <w:shd w:val="clear" w:color="auto" w:fill="FFFFFF"/>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121,2±2,8</w:t>
            </w:r>
          </w:p>
        </w:tc>
        <w:tc>
          <w:tcPr>
            <w:tcW w:w="1302" w:type="dxa"/>
            <w:tcBorders>
              <w:top w:val="nil"/>
              <w:left w:val="nil"/>
              <w:bottom w:val="single" w:sz="4" w:space="0" w:color="auto"/>
              <w:right w:val="single" w:sz="4" w:space="0" w:color="auto"/>
            </w:tcBorders>
            <w:shd w:val="clear" w:color="auto" w:fill="FFFFFF"/>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4,1±0,9</w:t>
            </w:r>
          </w:p>
        </w:tc>
        <w:tc>
          <w:tcPr>
            <w:tcW w:w="1417" w:type="dxa"/>
            <w:tcBorders>
              <w:top w:val="nil"/>
              <w:left w:val="nil"/>
              <w:bottom w:val="single" w:sz="4" w:space="0" w:color="auto"/>
              <w:right w:val="single" w:sz="4" w:space="0" w:color="auto"/>
            </w:tcBorders>
            <w:shd w:val="clear" w:color="auto" w:fill="FFFFFF"/>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242,2±9,2</w:t>
            </w:r>
          </w:p>
        </w:tc>
        <w:tc>
          <w:tcPr>
            <w:tcW w:w="1153" w:type="dxa"/>
            <w:tcBorders>
              <w:top w:val="nil"/>
              <w:left w:val="nil"/>
              <w:bottom w:val="single" w:sz="4" w:space="0" w:color="auto"/>
              <w:right w:val="single" w:sz="4" w:space="0" w:color="auto"/>
            </w:tcBorders>
            <w:shd w:val="clear" w:color="auto" w:fill="FFFFFF"/>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5,82±1,2</w:t>
            </w:r>
          </w:p>
        </w:tc>
        <w:tc>
          <w:tcPr>
            <w:tcW w:w="1157" w:type="dxa"/>
            <w:tcBorders>
              <w:top w:val="nil"/>
              <w:left w:val="nil"/>
              <w:bottom w:val="single" w:sz="4" w:space="0" w:color="auto"/>
              <w:right w:val="single" w:sz="4" w:space="0" w:color="auto"/>
            </w:tcBorders>
            <w:shd w:val="clear" w:color="auto" w:fill="FFFFFF"/>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5,3+1,1</w:t>
            </w:r>
          </w:p>
        </w:tc>
        <w:tc>
          <w:tcPr>
            <w:tcW w:w="1934" w:type="dxa"/>
            <w:tcBorders>
              <w:top w:val="nil"/>
              <w:left w:val="nil"/>
              <w:bottom w:val="single" w:sz="4" w:space="0" w:color="auto"/>
              <w:right w:val="single" w:sz="4" w:space="0" w:color="auto"/>
            </w:tcBorders>
            <w:shd w:val="clear" w:color="auto" w:fill="FFFFFF"/>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0,52±0,02</w:t>
            </w:r>
          </w:p>
        </w:tc>
      </w:tr>
      <w:tr w:rsidR="00A11646" w:rsidRPr="00A11646" w:rsidTr="00B875EA">
        <w:trPr>
          <w:trHeight w:val="284"/>
        </w:trPr>
        <w:tc>
          <w:tcPr>
            <w:tcW w:w="550" w:type="dxa"/>
            <w:vMerge/>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p>
        </w:tc>
        <w:tc>
          <w:tcPr>
            <w:tcW w:w="551"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λ</w:t>
            </w:r>
          </w:p>
        </w:tc>
        <w:tc>
          <w:tcPr>
            <w:tcW w:w="122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126,3±4,3</w:t>
            </w:r>
          </w:p>
        </w:tc>
        <w:tc>
          <w:tcPr>
            <w:tcW w:w="1302"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4,7±0,21</w:t>
            </w:r>
          </w:p>
        </w:tc>
        <w:tc>
          <w:tcPr>
            <w:tcW w:w="141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221,3±8,7</w:t>
            </w:r>
          </w:p>
        </w:tc>
        <w:tc>
          <w:tcPr>
            <w:tcW w:w="115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6,4±0,9</w:t>
            </w:r>
          </w:p>
        </w:tc>
        <w:tc>
          <w:tcPr>
            <w:tcW w:w="115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10,1+2,1</w:t>
            </w:r>
          </w:p>
        </w:tc>
        <w:tc>
          <w:tcPr>
            <w:tcW w:w="1934"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2,8±0,01</w:t>
            </w:r>
          </w:p>
        </w:tc>
      </w:tr>
      <w:tr w:rsidR="00A11646" w:rsidRPr="00A11646" w:rsidTr="00B875EA">
        <w:trPr>
          <w:trHeight w:val="284"/>
        </w:trPr>
        <w:tc>
          <w:tcPr>
            <w:tcW w:w="550" w:type="dxa"/>
            <w:vMerge w:val="restart"/>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А</w:t>
            </w:r>
          </w:p>
        </w:tc>
        <w:tc>
          <w:tcPr>
            <w:tcW w:w="551"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κ</w:t>
            </w:r>
          </w:p>
        </w:tc>
        <w:tc>
          <w:tcPr>
            <w:tcW w:w="122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132,2±7,2</w:t>
            </w:r>
          </w:p>
        </w:tc>
        <w:tc>
          <w:tcPr>
            <w:tcW w:w="1302"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4,9±0,28</w:t>
            </w:r>
          </w:p>
        </w:tc>
        <w:tc>
          <w:tcPr>
            <w:tcW w:w="141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253,4±12,2</w:t>
            </w:r>
          </w:p>
        </w:tc>
        <w:tc>
          <w:tcPr>
            <w:tcW w:w="115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8,2±1,4</w:t>
            </w:r>
          </w:p>
        </w:tc>
        <w:tc>
          <w:tcPr>
            <w:tcW w:w="115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9,3+1,8</w:t>
            </w:r>
          </w:p>
        </w:tc>
        <w:tc>
          <w:tcPr>
            <w:tcW w:w="1934"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1,2±0,01</w:t>
            </w:r>
          </w:p>
        </w:tc>
      </w:tr>
      <w:tr w:rsidR="00A11646" w:rsidRPr="00A11646" w:rsidTr="00B875EA">
        <w:trPr>
          <w:trHeight w:val="284"/>
        </w:trPr>
        <w:tc>
          <w:tcPr>
            <w:tcW w:w="550" w:type="dxa"/>
            <w:vMerge/>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p>
        </w:tc>
        <w:tc>
          <w:tcPr>
            <w:tcW w:w="551"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λ</w:t>
            </w:r>
          </w:p>
        </w:tc>
        <w:tc>
          <w:tcPr>
            <w:tcW w:w="122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125,6±5,3</w:t>
            </w:r>
          </w:p>
        </w:tc>
        <w:tc>
          <w:tcPr>
            <w:tcW w:w="1302"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4,7±0,3</w:t>
            </w:r>
          </w:p>
        </w:tc>
        <w:tc>
          <w:tcPr>
            <w:tcW w:w="141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210,1±11,2</w:t>
            </w:r>
          </w:p>
        </w:tc>
        <w:tc>
          <w:tcPr>
            <w:tcW w:w="115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7,54±1,8</w:t>
            </w:r>
          </w:p>
        </w:tc>
        <w:tc>
          <w:tcPr>
            <w:tcW w:w="115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9,1+1,2</w:t>
            </w:r>
          </w:p>
        </w:tc>
        <w:tc>
          <w:tcPr>
            <w:tcW w:w="1934"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1,8±0,02</w:t>
            </w:r>
          </w:p>
        </w:tc>
      </w:tr>
      <w:tr w:rsidR="00A11646" w:rsidRPr="00A11646" w:rsidTr="00B875EA">
        <w:trPr>
          <w:trHeight w:val="284"/>
        </w:trPr>
        <w:tc>
          <w:tcPr>
            <w:tcW w:w="1101" w:type="dxa"/>
            <w:gridSpan w:val="2"/>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Другие типы</w:t>
            </w:r>
          </w:p>
        </w:tc>
        <w:tc>
          <w:tcPr>
            <w:tcW w:w="122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134,2±7,1</w:t>
            </w:r>
          </w:p>
        </w:tc>
        <w:tc>
          <w:tcPr>
            <w:tcW w:w="1302"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5,1±0,28</w:t>
            </w:r>
          </w:p>
        </w:tc>
        <w:tc>
          <w:tcPr>
            <w:tcW w:w="141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234,1±12,1</w:t>
            </w:r>
          </w:p>
        </w:tc>
        <w:tc>
          <w:tcPr>
            <w:tcW w:w="1153"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6,8±1,1</w:t>
            </w:r>
          </w:p>
        </w:tc>
        <w:tc>
          <w:tcPr>
            <w:tcW w:w="1157"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val="uz-Cyrl-UZ" w:eastAsia="ko-KR" w:bidi="pa-IN"/>
              </w:rPr>
              <w:t>7,2±0,92</w:t>
            </w:r>
          </w:p>
        </w:tc>
        <w:tc>
          <w:tcPr>
            <w:tcW w:w="1934"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4"/>
                <w:lang w:eastAsia="ko-KR" w:bidi="pa-IN"/>
              </w:rPr>
            </w:pPr>
            <w:r w:rsidRPr="00A11646">
              <w:rPr>
                <w:rFonts w:ascii="Times New Roman" w:eastAsia="Batang" w:hAnsi="Times New Roman"/>
                <w:sz w:val="28"/>
                <w:szCs w:val="24"/>
                <w:lang w:eastAsia="ko-KR" w:bidi="pa-IN"/>
              </w:rPr>
              <w:t>0,33+0,01</w:t>
            </w:r>
          </w:p>
        </w:tc>
      </w:tr>
    </w:tbl>
    <w:p w:rsidR="00C328C9" w:rsidRPr="00A11646" w:rsidRDefault="00C328C9" w:rsidP="00C328C9">
      <w:pPr>
        <w:autoSpaceDE w:val="0"/>
        <w:autoSpaceDN w:val="0"/>
        <w:adjustRightInd w:val="0"/>
        <w:spacing w:after="0" w:line="360" w:lineRule="auto"/>
        <w:jc w:val="center"/>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9"/>
        <w:jc w:val="both"/>
        <w:rPr>
          <w:rFonts w:ascii="Times New Roman" w:hAnsi="Times New Roman"/>
          <w:sz w:val="28"/>
          <w:szCs w:val="28"/>
        </w:rPr>
      </w:pPr>
      <w:r w:rsidRPr="00A11646">
        <w:rPr>
          <w:rFonts w:ascii="Times New Roman" w:hAnsi="Times New Roman"/>
          <w:sz w:val="28"/>
          <w:szCs w:val="28"/>
          <w:lang w:val="uz-Cyrl-UZ"/>
        </w:rPr>
        <w:t>3</w:t>
      </w:r>
      <w:r w:rsidRPr="00A11646">
        <w:rPr>
          <w:rFonts w:ascii="Times New Roman" w:hAnsi="Times New Roman"/>
          <w:sz w:val="28"/>
          <w:szCs w:val="28"/>
        </w:rPr>
        <w:t xml:space="preserve">. </w:t>
      </w:r>
      <w:bookmarkStart w:id="45" w:name="_Hlk20247884"/>
      <w:r w:rsidRPr="00A11646">
        <w:rPr>
          <w:rFonts w:ascii="Times New Roman" w:hAnsi="Times New Roman"/>
          <w:sz w:val="28"/>
          <w:szCs w:val="28"/>
        </w:rPr>
        <w:t>Биохимические методы исследования проводились с помощью биохимического анализатора Mindray</w:t>
      </w:r>
      <w:r w:rsidRPr="00A11646">
        <w:rPr>
          <w:rFonts w:ascii="Times New Roman" w:hAnsi="Times New Roman"/>
          <w:sz w:val="28"/>
          <w:szCs w:val="28"/>
          <w:lang w:val="en-US"/>
        </w:rPr>
        <w:t>BA</w:t>
      </w:r>
      <w:r w:rsidRPr="00A11646">
        <w:rPr>
          <w:rFonts w:ascii="Times New Roman" w:hAnsi="Times New Roman"/>
          <w:sz w:val="28"/>
          <w:szCs w:val="28"/>
        </w:rPr>
        <w:t>-88</w:t>
      </w:r>
      <w:r w:rsidRPr="00A11646">
        <w:rPr>
          <w:rFonts w:ascii="Times New Roman" w:hAnsi="Times New Roman"/>
          <w:sz w:val="28"/>
          <w:szCs w:val="28"/>
          <w:lang w:val="en-US"/>
        </w:rPr>
        <w:t>A</w:t>
      </w:r>
      <w:r w:rsidRPr="00A11646">
        <w:rPr>
          <w:rFonts w:ascii="Times New Roman" w:hAnsi="Times New Roman"/>
          <w:sz w:val="28"/>
          <w:szCs w:val="28"/>
        </w:rPr>
        <w:t xml:space="preserve"> (China) с использованием реактивов той же фирмы «</w:t>
      </w:r>
      <w:r w:rsidRPr="00A11646">
        <w:rPr>
          <w:rFonts w:ascii="Times New Roman" w:hAnsi="Times New Roman"/>
          <w:sz w:val="28"/>
          <w:szCs w:val="28"/>
          <w:lang w:val="en-US"/>
        </w:rPr>
        <w:t>Human</w:t>
      </w:r>
      <w:r w:rsidRPr="00A11646">
        <w:rPr>
          <w:rFonts w:ascii="Times New Roman" w:hAnsi="Times New Roman"/>
          <w:sz w:val="28"/>
          <w:szCs w:val="28"/>
        </w:rPr>
        <w:t>»:</w:t>
      </w:r>
    </w:p>
    <w:p w:rsidR="00C328C9" w:rsidRPr="00A11646" w:rsidRDefault="00C328C9" w:rsidP="00C328C9">
      <w:pPr>
        <w:autoSpaceDE w:val="0"/>
        <w:autoSpaceDN w:val="0"/>
        <w:adjustRightInd w:val="0"/>
        <w:spacing w:after="0" w:line="360" w:lineRule="auto"/>
        <w:ind w:firstLine="709"/>
        <w:jc w:val="both"/>
        <w:rPr>
          <w:rFonts w:ascii="Times New Roman" w:hAnsi="Times New Roman"/>
          <w:sz w:val="28"/>
          <w:szCs w:val="28"/>
          <w:lang w:val="uz-Cyrl-UZ"/>
        </w:rPr>
      </w:pPr>
      <w:r w:rsidRPr="00A11646">
        <w:rPr>
          <w:rFonts w:ascii="Times New Roman" w:hAnsi="Times New Roman"/>
          <w:sz w:val="28"/>
          <w:szCs w:val="28"/>
        </w:rPr>
        <w:t xml:space="preserve">-в сыворотке венозной крови </w:t>
      </w:r>
      <w:r w:rsidRPr="00A11646">
        <w:rPr>
          <w:rFonts w:ascii="Times New Roman" w:hAnsi="Times New Roman"/>
          <w:sz w:val="28"/>
          <w:szCs w:val="28"/>
          <w:lang w:val="uz-Cyrl-UZ"/>
        </w:rPr>
        <w:t>проводили количественное определение концентрации содержания общего белка, альбумина, β</w:t>
      </w:r>
      <w:r w:rsidRPr="00A11646">
        <w:rPr>
          <w:rFonts w:ascii="Times New Roman" w:hAnsi="Times New Roman"/>
          <w:sz w:val="28"/>
          <w:szCs w:val="28"/>
          <w:vertAlign w:val="subscript"/>
          <w:lang w:val="uz-Cyrl-UZ"/>
        </w:rPr>
        <w:t>2</w:t>
      </w:r>
      <w:r w:rsidRPr="00A11646">
        <w:rPr>
          <w:rFonts w:ascii="Times New Roman" w:hAnsi="Times New Roman"/>
          <w:sz w:val="28"/>
          <w:szCs w:val="28"/>
          <w:lang w:val="uz-Cyrl-UZ"/>
        </w:rPr>
        <w:t xml:space="preserve"> - и γ микроглобулина, креатинина, остаточного азота, мочевины);</w:t>
      </w:r>
    </w:p>
    <w:p w:rsidR="00C328C9" w:rsidRPr="00A11646" w:rsidRDefault="00C328C9" w:rsidP="00C328C9">
      <w:pPr>
        <w:autoSpaceDE w:val="0"/>
        <w:autoSpaceDN w:val="0"/>
        <w:adjustRightInd w:val="0"/>
        <w:spacing w:after="0" w:line="360" w:lineRule="auto"/>
        <w:ind w:firstLine="709"/>
        <w:jc w:val="both"/>
        <w:rPr>
          <w:rFonts w:ascii="Times New Roman" w:hAnsi="Times New Roman"/>
          <w:sz w:val="28"/>
          <w:szCs w:val="28"/>
        </w:rPr>
      </w:pPr>
      <w:r w:rsidRPr="00A11646">
        <w:rPr>
          <w:rFonts w:ascii="Times New Roman" w:hAnsi="Times New Roman"/>
          <w:sz w:val="28"/>
          <w:szCs w:val="28"/>
        </w:rPr>
        <w:t>- в моче определяли содержание белка, белок Бенс-Джонса</w:t>
      </w:r>
      <w:bookmarkEnd w:id="45"/>
      <w:r w:rsidR="00A9422A">
        <w:rPr>
          <w:rFonts w:ascii="Times New Roman" w:hAnsi="Times New Roman"/>
          <w:sz w:val="28"/>
          <w:szCs w:val="28"/>
          <w:lang w:val="uz-Cyrl-UZ"/>
        </w:rPr>
        <w:t xml:space="preserve"> </w:t>
      </w:r>
      <w:r w:rsidRPr="00A11646">
        <w:rPr>
          <w:rFonts w:ascii="Times New Roman" w:hAnsi="Times New Roman"/>
          <w:sz w:val="28"/>
          <w:szCs w:val="28"/>
          <w:lang w:val="uz-Cyrl-UZ"/>
        </w:rPr>
        <w:t>(табл. 2.2.2.2.)</w:t>
      </w:r>
      <w:r w:rsidRPr="00A11646">
        <w:rPr>
          <w:rFonts w:ascii="Times New Roman" w:hAnsi="Times New Roman"/>
          <w:sz w:val="28"/>
          <w:szCs w:val="28"/>
        </w:rPr>
        <w:t>.</w:t>
      </w:r>
    </w:p>
    <w:p w:rsidR="00E41F46" w:rsidRDefault="00E41F46" w:rsidP="00C328C9">
      <w:pPr>
        <w:autoSpaceDE w:val="0"/>
        <w:autoSpaceDN w:val="0"/>
        <w:adjustRightInd w:val="0"/>
        <w:spacing w:after="0" w:line="360" w:lineRule="auto"/>
        <w:ind w:left="707" w:firstLine="709"/>
        <w:jc w:val="right"/>
        <w:rPr>
          <w:rFonts w:ascii="Times New Roman" w:hAnsi="Times New Roman"/>
          <w:b/>
          <w:sz w:val="28"/>
          <w:szCs w:val="28"/>
          <w:lang w:val="uz-Cyrl-UZ"/>
        </w:rPr>
      </w:pPr>
    </w:p>
    <w:p w:rsidR="00E41F46" w:rsidRDefault="00E41F46" w:rsidP="00C328C9">
      <w:pPr>
        <w:autoSpaceDE w:val="0"/>
        <w:autoSpaceDN w:val="0"/>
        <w:adjustRightInd w:val="0"/>
        <w:spacing w:after="0" w:line="360" w:lineRule="auto"/>
        <w:ind w:left="707" w:firstLine="709"/>
        <w:jc w:val="right"/>
        <w:rPr>
          <w:rFonts w:ascii="Times New Roman" w:hAnsi="Times New Roman"/>
          <w:b/>
          <w:sz w:val="28"/>
          <w:szCs w:val="28"/>
          <w:lang w:val="uz-Cyrl-UZ"/>
        </w:rPr>
      </w:pPr>
    </w:p>
    <w:p w:rsidR="00E41F46" w:rsidRDefault="00E41F46" w:rsidP="00C328C9">
      <w:pPr>
        <w:autoSpaceDE w:val="0"/>
        <w:autoSpaceDN w:val="0"/>
        <w:adjustRightInd w:val="0"/>
        <w:spacing w:after="0" w:line="360" w:lineRule="auto"/>
        <w:ind w:left="707" w:firstLine="709"/>
        <w:jc w:val="right"/>
        <w:rPr>
          <w:rFonts w:ascii="Times New Roman" w:hAnsi="Times New Roman"/>
          <w:b/>
          <w:sz w:val="28"/>
          <w:szCs w:val="28"/>
          <w:lang w:val="uz-Cyrl-UZ"/>
        </w:rPr>
      </w:pPr>
    </w:p>
    <w:p w:rsidR="00E41F46" w:rsidRDefault="00E41F46" w:rsidP="00C328C9">
      <w:pPr>
        <w:autoSpaceDE w:val="0"/>
        <w:autoSpaceDN w:val="0"/>
        <w:adjustRightInd w:val="0"/>
        <w:spacing w:after="0" w:line="360" w:lineRule="auto"/>
        <w:ind w:left="707" w:firstLine="709"/>
        <w:jc w:val="right"/>
        <w:rPr>
          <w:rFonts w:ascii="Times New Roman" w:hAnsi="Times New Roman"/>
          <w:b/>
          <w:sz w:val="28"/>
          <w:szCs w:val="28"/>
          <w:lang w:val="uz-Cyrl-UZ"/>
        </w:rPr>
      </w:pPr>
    </w:p>
    <w:p w:rsidR="00C328C9" w:rsidRPr="00A11646" w:rsidRDefault="00C328C9" w:rsidP="00C328C9">
      <w:pPr>
        <w:autoSpaceDE w:val="0"/>
        <w:autoSpaceDN w:val="0"/>
        <w:adjustRightInd w:val="0"/>
        <w:spacing w:after="0" w:line="360" w:lineRule="auto"/>
        <w:ind w:left="707" w:firstLine="709"/>
        <w:jc w:val="right"/>
        <w:rPr>
          <w:rFonts w:ascii="Times New Roman" w:hAnsi="Times New Roman"/>
          <w:b/>
          <w:sz w:val="28"/>
          <w:szCs w:val="28"/>
          <w:lang w:val="uz-Cyrl-UZ"/>
        </w:rPr>
      </w:pPr>
      <w:r w:rsidRPr="00A11646">
        <w:rPr>
          <w:rFonts w:ascii="Times New Roman" w:hAnsi="Times New Roman"/>
          <w:b/>
          <w:sz w:val="28"/>
          <w:szCs w:val="28"/>
          <w:lang w:val="uz-Cyrl-UZ"/>
        </w:rPr>
        <w:lastRenderedPageBreak/>
        <w:t xml:space="preserve">Таблица 2.2.2.2. </w:t>
      </w:r>
    </w:p>
    <w:p w:rsidR="00C328C9" w:rsidRPr="00A11646" w:rsidRDefault="00C328C9" w:rsidP="00C328C9">
      <w:pPr>
        <w:autoSpaceDE w:val="0"/>
        <w:autoSpaceDN w:val="0"/>
        <w:adjustRightInd w:val="0"/>
        <w:spacing w:after="0" w:line="360" w:lineRule="auto"/>
        <w:jc w:val="center"/>
        <w:rPr>
          <w:rFonts w:ascii="Times New Roman" w:hAnsi="Times New Roman"/>
          <w:b/>
          <w:sz w:val="28"/>
          <w:szCs w:val="28"/>
        </w:rPr>
      </w:pPr>
      <w:r w:rsidRPr="00A11646">
        <w:rPr>
          <w:rFonts w:ascii="Times New Roman" w:hAnsi="Times New Roman"/>
          <w:b/>
          <w:sz w:val="28"/>
          <w:szCs w:val="28"/>
        </w:rPr>
        <w:t>Средние значения биохимических показателей сыворотки венозной крови и мочи в контрольной группе (А, Б и В), (</w:t>
      </w:r>
      <w:r w:rsidRPr="00A11646">
        <w:rPr>
          <w:rFonts w:ascii="Times New Roman" w:hAnsi="Times New Roman"/>
          <w:b/>
          <w:sz w:val="28"/>
          <w:szCs w:val="28"/>
          <w:lang w:val="en-US"/>
        </w:rPr>
        <w:t>M</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w:t>
      </w:r>
    </w:p>
    <w:p w:rsidR="00C328C9" w:rsidRPr="00A11646" w:rsidRDefault="00C328C9" w:rsidP="00C328C9">
      <w:pPr>
        <w:autoSpaceDE w:val="0"/>
        <w:autoSpaceDN w:val="0"/>
        <w:adjustRightInd w:val="0"/>
        <w:spacing w:after="0" w:line="360" w:lineRule="auto"/>
        <w:ind w:firstLine="709"/>
        <w:rPr>
          <w:rFonts w:ascii="Times New Roman" w:hAnsi="Times New Roman"/>
          <w:b/>
          <w:sz w:val="28"/>
          <w:szCs w:val="28"/>
        </w:rPr>
      </w:pPr>
      <w:r w:rsidRPr="00A11646">
        <w:rPr>
          <w:rFonts w:ascii="Times New Roman" w:hAnsi="Times New Roman"/>
          <w:b/>
          <w:sz w:val="28"/>
          <w:szCs w:val="28"/>
        </w:rPr>
        <w:t>А</w:t>
      </w:r>
    </w:p>
    <w:tbl>
      <w:tblPr>
        <w:tblW w:w="9680" w:type="dxa"/>
        <w:tblInd w:w="93" w:type="dxa"/>
        <w:tblLook w:val="0000"/>
      </w:tblPr>
      <w:tblGrid>
        <w:gridCol w:w="960"/>
        <w:gridCol w:w="960"/>
        <w:gridCol w:w="1940"/>
        <w:gridCol w:w="1940"/>
        <w:gridCol w:w="1940"/>
        <w:gridCol w:w="1940"/>
      </w:tblGrid>
      <w:tr w:rsidR="00C328C9" w:rsidRPr="00A11646" w:rsidTr="00C328C9">
        <w:trPr>
          <w:trHeight w:val="227"/>
        </w:trPr>
        <w:tc>
          <w:tcPr>
            <w:tcW w:w="1920" w:type="dxa"/>
            <w:gridSpan w:val="2"/>
            <w:vMerge w:val="restart"/>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Тип IG</w:t>
            </w:r>
          </w:p>
        </w:tc>
        <w:tc>
          <w:tcPr>
            <w:tcW w:w="7760" w:type="dxa"/>
            <w:gridSpan w:val="4"/>
            <w:tcBorders>
              <w:top w:val="single" w:sz="4" w:space="0" w:color="auto"/>
              <w:left w:val="nil"/>
              <w:bottom w:val="single" w:sz="4" w:space="0" w:color="auto"/>
              <w:right w:val="single" w:sz="4" w:space="0" w:color="auto"/>
            </w:tcBorders>
            <w:noWrap/>
            <w:vAlign w:val="bottom"/>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Контроль</w:t>
            </w:r>
          </w:p>
        </w:tc>
      </w:tr>
      <w:tr w:rsidR="00C328C9" w:rsidRPr="00A11646" w:rsidTr="00C328C9">
        <w:trPr>
          <w:trHeight w:val="227"/>
        </w:trPr>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rPr>
                <w:rFonts w:ascii="Times New Roman" w:eastAsia="Batang" w:hAnsi="Times New Roman"/>
                <w:sz w:val="28"/>
                <w:szCs w:val="28"/>
                <w:lang w:eastAsia="ko-KR" w:bidi="pa-IN"/>
              </w:rPr>
            </w:pPr>
          </w:p>
        </w:tc>
        <w:tc>
          <w:tcPr>
            <w:tcW w:w="1940" w:type="dxa"/>
            <w:vMerge w:val="restart"/>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Общий белок, г/л</w:t>
            </w:r>
          </w:p>
        </w:tc>
        <w:tc>
          <w:tcPr>
            <w:tcW w:w="5820" w:type="dxa"/>
            <w:gridSpan w:val="3"/>
            <w:tcBorders>
              <w:top w:val="single" w:sz="4" w:space="0" w:color="auto"/>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Белковые фракции</w:t>
            </w:r>
          </w:p>
        </w:tc>
      </w:tr>
      <w:tr w:rsidR="00C328C9" w:rsidRPr="00A11646" w:rsidTr="00C328C9">
        <w:trPr>
          <w:trHeight w:val="227"/>
        </w:trPr>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rPr>
                <w:rFonts w:ascii="Times New Roman" w:eastAsia="Batang" w:hAnsi="Times New Roman"/>
                <w:sz w:val="28"/>
                <w:szCs w:val="28"/>
                <w:lang w:eastAsia="ko-KR" w:bidi="pa-IN"/>
              </w:rPr>
            </w:pPr>
          </w:p>
        </w:tc>
        <w:tc>
          <w:tcPr>
            <w:tcW w:w="1940" w:type="dxa"/>
            <w:vMerge/>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rPr>
                <w:rFonts w:ascii="Times New Roman" w:eastAsia="Batang" w:hAnsi="Times New Roman"/>
                <w:sz w:val="28"/>
                <w:szCs w:val="28"/>
                <w:lang w:eastAsia="ko-KR" w:bidi="pa-IN"/>
              </w:rPr>
            </w:pP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Альбумин, %</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β</w:t>
            </w:r>
          </w:p>
        </w:tc>
      </w:tr>
      <w:tr w:rsidR="00C328C9" w:rsidRPr="00A11646" w:rsidTr="00C328C9">
        <w:trPr>
          <w:trHeight w:val="227"/>
        </w:trPr>
        <w:tc>
          <w:tcPr>
            <w:tcW w:w="960" w:type="dxa"/>
            <w:vMerge w:val="restart"/>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G</w:t>
            </w:r>
          </w:p>
        </w:tc>
        <w:tc>
          <w:tcPr>
            <w:tcW w:w="96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78,21±2,4</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58,2±2,3</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10,1±1,2</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6,2+0,91</w:t>
            </w:r>
          </w:p>
        </w:tc>
      </w:tr>
      <w:tr w:rsidR="00C328C9" w:rsidRPr="00A11646" w:rsidTr="00C328C9">
        <w:trPr>
          <w:trHeight w:val="227"/>
        </w:trPr>
        <w:tc>
          <w:tcPr>
            <w:tcW w:w="960" w:type="dxa"/>
            <w:vMerge/>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rPr>
                <w:rFonts w:ascii="Times New Roman" w:eastAsia="Batang" w:hAnsi="Times New Roman"/>
                <w:sz w:val="28"/>
                <w:szCs w:val="28"/>
                <w:lang w:eastAsia="ko-KR" w:bidi="pa-IN"/>
              </w:rPr>
            </w:pPr>
          </w:p>
        </w:tc>
        <w:tc>
          <w:tcPr>
            <w:tcW w:w="96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75,3±3,12</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58,31±1,8</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13,3±1,4</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8,2+1,1</w:t>
            </w:r>
          </w:p>
        </w:tc>
      </w:tr>
      <w:tr w:rsidR="00C328C9" w:rsidRPr="00A11646" w:rsidTr="00C328C9">
        <w:trPr>
          <w:trHeight w:val="227"/>
        </w:trPr>
        <w:tc>
          <w:tcPr>
            <w:tcW w:w="960" w:type="dxa"/>
            <w:vMerge w:val="restart"/>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w:t>
            </w:r>
          </w:p>
        </w:tc>
        <w:tc>
          <w:tcPr>
            <w:tcW w:w="96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72,53±6,7</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55,9±3,4</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13,8±2,1</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9,12+1,2</w:t>
            </w:r>
          </w:p>
        </w:tc>
      </w:tr>
      <w:tr w:rsidR="00C328C9" w:rsidRPr="00A11646" w:rsidTr="00C328C9">
        <w:trPr>
          <w:trHeight w:val="227"/>
        </w:trPr>
        <w:tc>
          <w:tcPr>
            <w:tcW w:w="960" w:type="dxa"/>
            <w:vMerge/>
            <w:tcBorders>
              <w:top w:val="nil"/>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rPr>
                <w:rFonts w:ascii="Times New Roman" w:eastAsia="Batang" w:hAnsi="Times New Roman"/>
                <w:sz w:val="28"/>
                <w:szCs w:val="28"/>
                <w:lang w:eastAsia="ko-KR" w:bidi="pa-IN"/>
              </w:rPr>
            </w:pPr>
          </w:p>
        </w:tc>
        <w:tc>
          <w:tcPr>
            <w:tcW w:w="96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74,31±4,23</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58,3±1,8</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12,4±1,8</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7,3+1,1</w:t>
            </w:r>
          </w:p>
        </w:tc>
      </w:tr>
      <w:tr w:rsidR="00C328C9" w:rsidRPr="00A11646" w:rsidTr="00C328C9">
        <w:trPr>
          <w:trHeight w:val="227"/>
        </w:trPr>
        <w:tc>
          <w:tcPr>
            <w:tcW w:w="1920" w:type="dxa"/>
            <w:gridSpan w:val="2"/>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Другие типы</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78,8+4,2</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57,3±3,1</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13,2±2,1</w:t>
            </w:r>
          </w:p>
        </w:tc>
        <w:tc>
          <w:tcPr>
            <w:tcW w:w="1940" w:type="dxa"/>
            <w:tcBorders>
              <w:top w:val="nil"/>
              <w:left w:val="nil"/>
              <w:bottom w:val="single" w:sz="4" w:space="0" w:color="auto"/>
              <w:right w:val="single" w:sz="4" w:space="0" w:color="auto"/>
            </w:tcBorders>
            <w:vAlign w:val="center"/>
          </w:tcPr>
          <w:p w:rsidR="00C328C9" w:rsidRPr="00A11646" w:rsidRDefault="00C328C9" w:rsidP="00C328C9">
            <w:pPr>
              <w:spacing w:after="0" w:line="36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7,6±1,2</w:t>
            </w:r>
          </w:p>
        </w:tc>
      </w:tr>
    </w:tbl>
    <w:p w:rsidR="00C328C9" w:rsidRPr="00A11646" w:rsidRDefault="00C328C9" w:rsidP="00C328C9">
      <w:pPr>
        <w:autoSpaceDE w:val="0"/>
        <w:autoSpaceDN w:val="0"/>
        <w:adjustRightInd w:val="0"/>
        <w:spacing w:after="0" w:line="360" w:lineRule="auto"/>
        <w:ind w:firstLine="709"/>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9"/>
        <w:rPr>
          <w:rFonts w:ascii="Times New Roman" w:hAnsi="Times New Roman"/>
          <w:b/>
          <w:sz w:val="28"/>
          <w:szCs w:val="28"/>
        </w:rPr>
      </w:pPr>
      <w:r w:rsidRPr="00A11646">
        <w:rPr>
          <w:rFonts w:ascii="Times New Roman" w:hAnsi="Times New Roman"/>
          <w:b/>
          <w:sz w:val="28"/>
          <w:szCs w:val="28"/>
        </w:rPr>
        <w:t>Б</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8"/>
        <w:gridCol w:w="1914"/>
        <w:gridCol w:w="2258"/>
        <w:gridCol w:w="2581"/>
        <w:gridCol w:w="2126"/>
      </w:tblGrid>
      <w:tr w:rsidR="00C328C9" w:rsidRPr="00A11646" w:rsidTr="00C328C9">
        <w:trPr>
          <w:trHeight w:val="322"/>
        </w:trPr>
        <w:tc>
          <w:tcPr>
            <w:tcW w:w="2532" w:type="dxa"/>
            <w:gridSpan w:val="2"/>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2258"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Мочевина, ммоль/л </w:t>
            </w:r>
          </w:p>
        </w:tc>
        <w:tc>
          <w:tcPr>
            <w:tcW w:w="2581"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Остаточный азот, ммоль/л </w:t>
            </w:r>
          </w:p>
        </w:tc>
        <w:tc>
          <w:tcPr>
            <w:tcW w:w="2126"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Креатинин, ммоль/л</w:t>
            </w:r>
          </w:p>
          <w:p w:rsidR="00C328C9" w:rsidRPr="00A11646" w:rsidRDefault="00C328C9" w:rsidP="00C328C9">
            <w:pPr>
              <w:spacing w:after="0" w:line="240" w:lineRule="auto"/>
              <w:jc w:val="center"/>
              <w:rPr>
                <w:rFonts w:ascii="Times New Roman" w:eastAsia="Times New Roman" w:hAnsi="Times New Roman"/>
                <w:sz w:val="28"/>
                <w:szCs w:val="28"/>
              </w:rPr>
            </w:pPr>
          </w:p>
        </w:tc>
      </w:tr>
      <w:tr w:rsidR="00C328C9" w:rsidRPr="00A11646" w:rsidTr="00C328C9">
        <w:trPr>
          <w:trHeight w:val="322"/>
        </w:trPr>
        <w:tc>
          <w:tcPr>
            <w:tcW w:w="2532" w:type="dxa"/>
            <w:gridSpan w:val="2"/>
            <w:vMerge/>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p>
        </w:tc>
        <w:tc>
          <w:tcPr>
            <w:tcW w:w="2258"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c>
          <w:tcPr>
            <w:tcW w:w="2581"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c>
          <w:tcPr>
            <w:tcW w:w="2126"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r>
      <w:tr w:rsidR="00C328C9" w:rsidRPr="00A11646" w:rsidTr="00C328C9">
        <w:tc>
          <w:tcPr>
            <w:tcW w:w="618"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191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258"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3,8±0,12</w:t>
            </w:r>
          </w:p>
        </w:tc>
        <w:tc>
          <w:tcPr>
            <w:tcW w:w="2581"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7,1±0,9</w:t>
            </w:r>
          </w:p>
        </w:tc>
        <w:tc>
          <w:tcPr>
            <w:tcW w:w="2126"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64,6±2,1</w:t>
            </w:r>
          </w:p>
        </w:tc>
      </w:tr>
      <w:tr w:rsidR="00C328C9" w:rsidRPr="00A11646" w:rsidTr="00C328C9">
        <w:tc>
          <w:tcPr>
            <w:tcW w:w="618"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c>
          <w:tcPr>
            <w:tcW w:w="191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258"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4,2±0,9</w:t>
            </w:r>
          </w:p>
        </w:tc>
        <w:tc>
          <w:tcPr>
            <w:tcW w:w="2581"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6,5±0,91</w:t>
            </w:r>
          </w:p>
        </w:tc>
        <w:tc>
          <w:tcPr>
            <w:tcW w:w="2126"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68,2±4,7</w:t>
            </w:r>
          </w:p>
        </w:tc>
      </w:tr>
      <w:tr w:rsidR="00C328C9" w:rsidRPr="00A11646" w:rsidTr="00C328C9">
        <w:tc>
          <w:tcPr>
            <w:tcW w:w="618"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191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258" w:type="dxa"/>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7,6±0,9</w:t>
            </w:r>
          </w:p>
        </w:tc>
        <w:tc>
          <w:tcPr>
            <w:tcW w:w="2581"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6,4±0,16</w:t>
            </w:r>
          </w:p>
        </w:tc>
        <w:tc>
          <w:tcPr>
            <w:tcW w:w="2126"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78,6±5,4</w:t>
            </w:r>
          </w:p>
        </w:tc>
      </w:tr>
      <w:tr w:rsidR="00C328C9" w:rsidRPr="00A11646" w:rsidTr="00C328C9">
        <w:tc>
          <w:tcPr>
            <w:tcW w:w="618"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c>
          <w:tcPr>
            <w:tcW w:w="191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258" w:type="dxa"/>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7,5±1,1</w:t>
            </w:r>
          </w:p>
        </w:tc>
        <w:tc>
          <w:tcPr>
            <w:tcW w:w="2581"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8,2±1,1</w:t>
            </w:r>
          </w:p>
        </w:tc>
        <w:tc>
          <w:tcPr>
            <w:tcW w:w="2126"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59,8±4,8</w:t>
            </w:r>
          </w:p>
        </w:tc>
      </w:tr>
      <w:tr w:rsidR="00C328C9" w:rsidRPr="00A11646" w:rsidTr="00C328C9">
        <w:tc>
          <w:tcPr>
            <w:tcW w:w="2532" w:type="dxa"/>
            <w:gridSpan w:val="2"/>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2258" w:type="dxa"/>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5,2+0,9</w:t>
            </w:r>
          </w:p>
        </w:tc>
        <w:tc>
          <w:tcPr>
            <w:tcW w:w="2581"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8,1±0,92</w:t>
            </w:r>
          </w:p>
        </w:tc>
        <w:tc>
          <w:tcPr>
            <w:tcW w:w="2126" w:type="dxa"/>
            <w:tcBorders>
              <w:left w:val="nil"/>
            </w:tcBorders>
            <w:vAlign w:val="center"/>
          </w:tcPr>
          <w:p w:rsidR="00C328C9" w:rsidRPr="00A11646" w:rsidRDefault="00C328C9" w:rsidP="00C328C9">
            <w:pPr>
              <w:spacing w:after="0"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73,4±9,1</w:t>
            </w:r>
          </w:p>
        </w:tc>
      </w:tr>
    </w:tbl>
    <w:p w:rsidR="00C328C9" w:rsidRPr="00A11646" w:rsidRDefault="00C328C9" w:rsidP="00C328C9">
      <w:pPr>
        <w:autoSpaceDE w:val="0"/>
        <w:autoSpaceDN w:val="0"/>
        <w:adjustRightInd w:val="0"/>
        <w:spacing w:after="0" w:line="360" w:lineRule="auto"/>
        <w:ind w:firstLine="709"/>
        <w:rPr>
          <w:rFonts w:ascii="Times New Roman" w:hAnsi="Times New Roman"/>
          <w:b/>
          <w:sz w:val="28"/>
          <w:szCs w:val="28"/>
          <w:lang w:val="uz-Cyrl-UZ"/>
        </w:rPr>
      </w:pPr>
    </w:p>
    <w:p w:rsidR="00C328C9" w:rsidRPr="00A11646" w:rsidRDefault="00C328C9" w:rsidP="00C328C9">
      <w:pPr>
        <w:autoSpaceDE w:val="0"/>
        <w:autoSpaceDN w:val="0"/>
        <w:adjustRightInd w:val="0"/>
        <w:spacing w:after="0" w:line="360" w:lineRule="auto"/>
        <w:ind w:firstLine="709"/>
        <w:rPr>
          <w:rFonts w:ascii="Times New Roman" w:hAnsi="Times New Roman"/>
          <w:b/>
          <w:sz w:val="28"/>
          <w:szCs w:val="28"/>
          <w:lang w:val="uz-Cyrl-UZ"/>
        </w:rPr>
      </w:pPr>
      <w:r w:rsidRPr="00A11646">
        <w:rPr>
          <w:rFonts w:ascii="Times New Roman" w:hAnsi="Times New Roman"/>
          <w:b/>
          <w:sz w:val="28"/>
          <w:szCs w:val="28"/>
          <w:lang w:val="uz-Cyrl-UZ"/>
        </w:rPr>
        <w:t>В</w:t>
      </w:r>
    </w:p>
    <w:tbl>
      <w:tblPr>
        <w:tblW w:w="6942" w:type="dxa"/>
        <w:tblInd w:w="1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9"/>
        <w:gridCol w:w="2064"/>
        <w:gridCol w:w="2127"/>
        <w:gridCol w:w="2122"/>
      </w:tblGrid>
      <w:tr w:rsidR="00C328C9" w:rsidRPr="00A11646" w:rsidTr="00C328C9">
        <w:trPr>
          <w:trHeight w:val="322"/>
        </w:trPr>
        <w:tc>
          <w:tcPr>
            <w:tcW w:w="2693" w:type="dxa"/>
            <w:gridSpan w:val="2"/>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2127"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Белок в моче, г/л</w:t>
            </w:r>
          </w:p>
        </w:tc>
        <w:tc>
          <w:tcPr>
            <w:tcW w:w="2122"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Белок Бенс -Джонса в моче</w:t>
            </w:r>
          </w:p>
        </w:tc>
      </w:tr>
      <w:tr w:rsidR="00C328C9" w:rsidRPr="00A11646" w:rsidTr="00C328C9">
        <w:trPr>
          <w:trHeight w:val="322"/>
        </w:trPr>
        <w:tc>
          <w:tcPr>
            <w:tcW w:w="2693" w:type="dxa"/>
            <w:gridSpan w:val="2"/>
            <w:vMerge/>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p>
        </w:tc>
        <w:tc>
          <w:tcPr>
            <w:tcW w:w="2127"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c>
          <w:tcPr>
            <w:tcW w:w="2122"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r>
      <w:tr w:rsidR="00C328C9" w:rsidRPr="00A11646" w:rsidTr="00C328C9">
        <w:tc>
          <w:tcPr>
            <w:tcW w:w="629"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206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127" w:type="dxa"/>
            <w:tcBorders>
              <w:left w:val="nil"/>
            </w:tcBorders>
            <w:shd w:val="clear" w:color="000000" w:fill="FFFFFF"/>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2122" w:type="dxa"/>
            <w:tcBorders>
              <w:left w:val="nil"/>
            </w:tcBorders>
            <w:shd w:val="clear" w:color="000000" w:fill="FFFFFF"/>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C328C9" w:rsidRPr="00A11646" w:rsidTr="00C328C9">
        <w:tc>
          <w:tcPr>
            <w:tcW w:w="629"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c>
          <w:tcPr>
            <w:tcW w:w="206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127"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w:t>
            </w:r>
          </w:p>
        </w:tc>
        <w:tc>
          <w:tcPr>
            <w:tcW w:w="2122"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w:t>
            </w:r>
          </w:p>
        </w:tc>
      </w:tr>
      <w:tr w:rsidR="00C328C9" w:rsidRPr="00A11646" w:rsidTr="00C328C9">
        <w:tc>
          <w:tcPr>
            <w:tcW w:w="629" w:type="dxa"/>
            <w:vMerge w:val="restart"/>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206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127"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0,33±0,01</w:t>
            </w:r>
          </w:p>
        </w:tc>
        <w:tc>
          <w:tcPr>
            <w:tcW w:w="2122"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C328C9" w:rsidRPr="00A11646" w:rsidTr="00C328C9">
        <w:tc>
          <w:tcPr>
            <w:tcW w:w="629" w:type="dxa"/>
            <w:vMerge/>
            <w:vAlign w:val="center"/>
          </w:tcPr>
          <w:p w:rsidR="00C328C9" w:rsidRPr="00A11646" w:rsidRDefault="00C328C9" w:rsidP="00C328C9">
            <w:pPr>
              <w:spacing w:after="0" w:line="240" w:lineRule="auto"/>
              <w:jc w:val="center"/>
              <w:rPr>
                <w:rFonts w:ascii="Times New Roman" w:eastAsia="Times New Roman" w:hAnsi="Times New Roman"/>
                <w:sz w:val="28"/>
                <w:szCs w:val="28"/>
              </w:rPr>
            </w:pPr>
          </w:p>
        </w:tc>
        <w:tc>
          <w:tcPr>
            <w:tcW w:w="2064" w:type="dxa"/>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127"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w:t>
            </w:r>
          </w:p>
        </w:tc>
        <w:tc>
          <w:tcPr>
            <w:tcW w:w="2122"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w:t>
            </w:r>
          </w:p>
        </w:tc>
      </w:tr>
      <w:tr w:rsidR="00C328C9" w:rsidRPr="00A11646" w:rsidTr="00C328C9">
        <w:tc>
          <w:tcPr>
            <w:tcW w:w="2693" w:type="dxa"/>
            <w:gridSpan w:val="2"/>
            <w:vAlign w:val="center"/>
          </w:tcPr>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2127" w:type="dxa"/>
            <w:tcBorders>
              <w:left w:val="nil"/>
            </w:tcBorders>
            <w:vAlign w:val="center"/>
          </w:tcPr>
          <w:p w:rsidR="00C328C9" w:rsidRPr="00A11646" w:rsidRDefault="00C328C9" w:rsidP="00C328C9">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0,33±0,002</w:t>
            </w:r>
          </w:p>
        </w:tc>
        <w:tc>
          <w:tcPr>
            <w:tcW w:w="2122" w:type="dxa"/>
            <w:tcBorders>
              <w:left w:val="nil"/>
            </w:tcBorders>
            <w:vAlign w:val="center"/>
          </w:tcPr>
          <w:p w:rsidR="00C328C9" w:rsidRPr="00A11646" w:rsidRDefault="00C328C9" w:rsidP="00C328C9">
            <w:pPr>
              <w:spacing w:after="0"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w:t>
            </w:r>
          </w:p>
        </w:tc>
      </w:tr>
    </w:tbl>
    <w:p w:rsidR="00C328C9" w:rsidRPr="00A11646" w:rsidRDefault="00C328C9" w:rsidP="00C328C9">
      <w:pPr>
        <w:autoSpaceDE w:val="0"/>
        <w:autoSpaceDN w:val="0"/>
        <w:adjustRightInd w:val="0"/>
        <w:spacing w:after="0" w:line="360" w:lineRule="auto"/>
        <w:ind w:firstLine="709"/>
        <w:rPr>
          <w:rFonts w:ascii="Times New Roman" w:hAnsi="Times New Roman"/>
          <w:b/>
          <w:sz w:val="28"/>
          <w:szCs w:val="28"/>
          <w:lang w:val="uz-Cyrl-UZ"/>
        </w:rPr>
      </w:pPr>
    </w:p>
    <w:p w:rsidR="00CA4766" w:rsidRDefault="00CA4766" w:rsidP="00C328C9">
      <w:pPr>
        <w:autoSpaceDE w:val="0"/>
        <w:autoSpaceDN w:val="0"/>
        <w:adjustRightInd w:val="0"/>
        <w:spacing w:after="0" w:line="360" w:lineRule="auto"/>
        <w:ind w:firstLine="709"/>
        <w:jc w:val="both"/>
        <w:rPr>
          <w:rFonts w:ascii="Times New Roman" w:hAnsi="Times New Roman"/>
          <w:sz w:val="28"/>
          <w:szCs w:val="28"/>
          <w:lang w:val="uz-Cyrl-UZ"/>
        </w:rPr>
      </w:pPr>
    </w:p>
    <w:p w:rsidR="00CA4766" w:rsidRDefault="00CA4766" w:rsidP="00C328C9">
      <w:pPr>
        <w:autoSpaceDE w:val="0"/>
        <w:autoSpaceDN w:val="0"/>
        <w:adjustRightInd w:val="0"/>
        <w:spacing w:after="0" w:line="360" w:lineRule="auto"/>
        <w:ind w:firstLine="709"/>
        <w:jc w:val="both"/>
        <w:rPr>
          <w:rFonts w:ascii="Times New Roman" w:hAnsi="Times New Roman"/>
          <w:sz w:val="28"/>
          <w:szCs w:val="28"/>
          <w:lang w:val="uz-Cyrl-UZ"/>
        </w:rPr>
      </w:pPr>
    </w:p>
    <w:p w:rsidR="00C328C9" w:rsidRPr="00A11646" w:rsidRDefault="00C328C9" w:rsidP="00C328C9">
      <w:pPr>
        <w:autoSpaceDE w:val="0"/>
        <w:autoSpaceDN w:val="0"/>
        <w:adjustRightInd w:val="0"/>
        <w:spacing w:after="0" w:line="360" w:lineRule="auto"/>
        <w:ind w:firstLine="709"/>
        <w:jc w:val="both"/>
        <w:rPr>
          <w:rFonts w:ascii="Times New Roman" w:hAnsi="Times New Roman"/>
          <w:sz w:val="28"/>
          <w:szCs w:val="28"/>
        </w:rPr>
      </w:pPr>
      <w:r w:rsidRPr="00A11646">
        <w:rPr>
          <w:rFonts w:ascii="Times New Roman" w:hAnsi="Times New Roman"/>
          <w:sz w:val="28"/>
          <w:szCs w:val="28"/>
        </w:rPr>
        <w:lastRenderedPageBreak/>
        <w:t>4. Иммунохимический метод определения типа иммуноглобулина:</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 </w:t>
      </w:r>
      <w:bookmarkStart w:id="46" w:name="_Hlk20248011"/>
      <w:r w:rsidRPr="00A11646">
        <w:rPr>
          <w:rFonts w:ascii="Times New Roman" w:hAnsi="Times New Roman"/>
          <w:sz w:val="28"/>
          <w:szCs w:val="28"/>
        </w:rPr>
        <w:t>обнаружение моноклонального иммуноглобулина тяжелых (</w:t>
      </w:r>
      <w:r w:rsidRPr="00A11646">
        <w:rPr>
          <w:rFonts w:ascii="Times New Roman" w:hAnsi="Times New Roman"/>
          <w:sz w:val="28"/>
          <w:szCs w:val="28"/>
          <w:lang w:val="en-US"/>
        </w:rPr>
        <w:t>IgG</w:t>
      </w:r>
      <w:r w:rsidRPr="00A11646">
        <w:rPr>
          <w:rFonts w:ascii="Times New Roman" w:hAnsi="Times New Roman"/>
          <w:sz w:val="28"/>
          <w:szCs w:val="28"/>
        </w:rPr>
        <w:t xml:space="preserve">, </w:t>
      </w:r>
      <w:r w:rsidRPr="00A11646">
        <w:rPr>
          <w:rFonts w:ascii="Times New Roman" w:hAnsi="Times New Roman"/>
          <w:sz w:val="28"/>
          <w:szCs w:val="28"/>
          <w:lang w:val="en-US"/>
        </w:rPr>
        <w:t>A</w:t>
      </w:r>
      <w:r w:rsidR="00A9422A">
        <w:rPr>
          <w:rFonts w:ascii="Times New Roman" w:hAnsi="Times New Roman"/>
          <w:sz w:val="28"/>
          <w:szCs w:val="28"/>
          <w:lang w:val="uz-Cyrl-UZ"/>
        </w:rPr>
        <w:t xml:space="preserve"> </w:t>
      </w:r>
      <w:r w:rsidRPr="00A11646">
        <w:rPr>
          <w:rFonts w:ascii="Times New Roman" w:hAnsi="Times New Roman"/>
          <w:sz w:val="28"/>
          <w:szCs w:val="28"/>
        </w:rPr>
        <w:t xml:space="preserve">и редких типов) и легких цепей (κ, λ) и </w:t>
      </w:r>
      <w:r w:rsidRPr="00A11646">
        <w:rPr>
          <w:rFonts w:ascii="Times New Roman" w:hAnsi="Times New Roman"/>
          <w:sz w:val="28"/>
          <w:szCs w:val="28"/>
          <w:lang w:val="en-US"/>
        </w:rPr>
        <w:t>free</w:t>
      </w:r>
      <w:r w:rsidRPr="00A11646">
        <w:rPr>
          <w:rFonts w:ascii="Times New Roman" w:hAnsi="Times New Roman"/>
          <w:sz w:val="28"/>
          <w:szCs w:val="28"/>
        </w:rPr>
        <w:t xml:space="preserve"> цепей (κ, λ) в сыворотке крови методом иммунофиксации и электрофореза определялось с помощью автоматизированной системы «</w:t>
      </w:r>
      <w:bookmarkStart w:id="47" w:name="_Hlk5633313"/>
      <w:r w:rsidRPr="00A11646">
        <w:rPr>
          <w:rFonts w:ascii="Times New Roman" w:hAnsi="Times New Roman"/>
          <w:sz w:val="28"/>
          <w:szCs w:val="28"/>
        </w:rPr>
        <w:t>Interlab</w:t>
      </w:r>
      <w:bookmarkEnd w:id="47"/>
      <w:r w:rsidR="00E86D68">
        <w:rPr>
          <w:rFonts w:ascii="Times New Roman" w:hAnsi="Times New Roman"/>
          <w:sz w:val="28"/>
          <w:szCs w:val="28"/>
          <w:lang w:val="uz-Cyrl-UZ"/>
        </w:rPr>
        <w:t xml:space="preserve"> </w:t>
      </w:r>
      <w:r w:rsidRPr="00A11646">
        <w:rPr>
          <w:rFonts w:ascii="Times New Roman" w:hAnsi="Times New Roman"/>
          <w:sz w:val="28"/>
          <w:szCs w:val="28"/>
        </w:rPr>
        <w:t>Pretty» (Interlab, Italy) с использованием реактивов этой же фирмы</w:t>
      </w:r>
      <w:bookmarkEnd w:id="46"/>
      <w:r w:rsidR="00E86D68">
        <w:rPr>
          <w:rFonts w:ascii="Times New Roman" w:hAnsi="Times New Roman"/>
          <w:sz w:val="28"/>
          <w:szCs w:val="28"/>
          <w:lang w:val="uz-Cyrl-UZ"/>
        </w:rPr>
        <w:t xml:space="preserve"> </w:t>
      </w:r>
      <w:r w:rsidRPr="00A11646">
        <w:rPr>
          <w:rFonts w:ascii="Times New Roman" w:hAnsi="Times New Roman"/>
          <w:sz w:val="28"/>
          <w:szCs w:val="28"/>
        </w:rPr>
        <w:t>(рис.2.2.2.</w:t>
      </w:r>
      <w:r w:rsidRPr="00A11646">
        <w:rPr>
          <w:rFonts w:ascii="Times New Roman" w:hAnsi="Times New Roman"/>
          <w:sz w:val="28"/>
          <w:szCs w:val="28"/>
          <w:lang w:val="uz-Cyrl-UZ"/>
        </w:rPr>
        <w:t>1</w:t>
      </w:r>
      <w:r w:rsidRPr="00A11646">
        <w:rPr>
          <w:rFonts w:ascii="Times New Roman" w:hAnsi="Times New Roman"/>
          <w:sz w:val="28"/>
          <w:szCs w:val="28"/>
        </w:rPr>
        <w:t xml:space="preserve">).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noProof/>
        </w:rPr>
        <w:drawing>
          <wp:inline distT="0" distB="0" distL="0" distR="0">
            <wp:extent cx="5500953" cy="3951514"/>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03" r="18134" b="1614"/>
                    <a:stretch/>
                  </pic:blipFill>
                  <pic:spPr bwMode="auto">
                    <a:xfrm>
                      <a:off x="0" y="0"/>
                      <a:ext cx="5516859" cy="39629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b/>
          <w:sz w:val="28"/>
          <w:szCs w:val="28"/>
        </w:rPr>
        <w:t>Рис. 2.2.2.</w:t>
      </w:r>
      <w:r w:rsidRPr="00A11646">
        <w:rPr>
          <w:rFonts w:ascii="Times New Roman" w:hAnsi="Times New Roman"/>
          <w:b/>
          <w:sz w:val="28"/>
          <w:szCs w:val="28"/>
          <w:lang w:val="uz-Cyrl-UZ"/>
        </w:rPr>
        <w:t>1</w:t>
      </w:r>
      <w:r w:rsidRPr="00A11646">
        <w:rPr>
          <w:rFonts w:ascii="Times New Roman" w:hAnsi="Times New Roman"/>
          <w:b/>
          <w:sz w:val="28"/>
          <w:szCs w:val="28"/>
        </w:rPr>
        <w:t>. Анализатор для иммунофиксации и электрофореза моноклонального иммуноглобулина и легких цепей фирмы Interlab</w:t>
      </w:r>
      <w:r w:rsidR="00B43F6E">
        <w:rPr>
          <w:rFonts w:ascii="Times New Roman" w:hAnsi="Times New Roman"/>
          <w:b/>
          <w:sz w:val="28"/>
          <w:szCs w:val="28"/>
          <w:lang w:val="uz-Cyrl-UZ"/>
        </w:rPr>
        <w:t xml:space="preserve"> </w:t>
      </w:r>
      <w:r w:rsidRPr="00A11646">
        <w:rPr>
          <w:rFonts w:ascii="Times New Roman" w:hAnsi="Times New Roman"/>
          <w:b/>
          <w:sz w:val="28"/>
          <w:szCs w:val="28"/>
        </w:rPr>
        <w:t>Pretty (Italy).</w:t>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b/>
          <w:sz w:val="28"/>
          <w:szCs w:val="28"/>
        </w:rPr>
        <w:t>Этапы проведения метода иммунофиксации.</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Данный м</w:t>
      </w:r>
      <w:r w:rsidRPr="00A11646">
        <w:rPr>
          <w:rFonts w:ascii="Times New Roman" w:hAnsi="Times New Roman"/>
          <w:sz w:val="28"/>
          <w:szCs w:val="28"/>
        </w:rPr>
        <w:t>етод</w:t>
      </w:r>
      <w:r w:rsidR="00B43F6E">
        <w:rPr>
          <w:rFonts w:ascii="Times New Roman" w:hAnsi="Times New Roman"/>
          <w:sz w:val="28"/>
          <w:szCs w:val="28"/>
          <w:lang w:val="uz-Cyrl-UZ"/>
        </w:rPr>
        <w:t xml:space="preserve"> </w:t>
      </w:r>
      <w:r w:rsidRPr="00A11646">
        <w:rPr>
          <w:rFonts w:ascii="Times New Roman" w:hAnsi="Times New Roman"/>
          <w:sz w:val="28"/>
          <w:szCs w:val="28"/>
          <w:lang w:val="uz-Cyrl-UZ"/>
        </w:rPr>
        <w:t xml:space="preserve">основан на </w:t>
      </w:r>
      <w:r w:rsidRPr="00A11646">
        <w:rPr>
          <w:rFonts w:ascii="Times New Roman" w:hAnsi="Times New Roman"/>
          <w:sz w:val="28"/>
          <w:szCs w:val="28"/>
        </w:rPr>
        <w:t>сочетани</w:t>
      </w:r>
      <w:r w:rsidRPr="00A11646">
        <w:rPr>
          <w:rFonts w:ascii="Times New Roman" w:hAnsi="Times New Roman"/>
          <w:sz w:val="28"/>
          <w:szCs w:val="28"/>
          <w:lang w:val="uz-Cyrl-UZ"/>
        </w:rPr>
        <w:t>и</w:t>
      </w:r>
      <w:r w:rsidRPr="00A11646">
        <w:rPr>
          <w:rFonts w:ascii="Times New Roman" w:hAnsi="Times New Roman"/>
          <w:sz w:val="28"/>
          <w:szCs w:val="28"/>
        </w:rPr>
        <w:t xml:space="preserve"> электрофореза и взаимодействия антиген-антитело. </w:t>
      </w:r>
    </w:p>
    <w:p w:rsidR="00C328C9" w:rsidRPr="00A11646" w:rsidRDefault="00C328C9" w:rsidP="00C328C9">
      <w:pPr>
        <w:pStyle w:val="a5"/>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этап заключается в нанесении исследуемого биологического материала с помощью специальных трафаретов на гелевую пластину, где происходит процесс диффундирования;</w:t>
      </w:r>
    </w:p>
    <w:p w:rsidR="00C328C9" w:rsidRPr="00A11646" w:rsidRDefault="00C328C9" w:rsidP="00C328C9">
      <w:pPr>
        <w:pStyle w:val="a5"/>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lastRenderedPageBreak/>
        <w:t>этап включает процесс электрофоретического разделения белков исследуемого биологического материала с дальнейшей инкубацией с моноспецифическими антисыворотками;</w:t>
      </w:r>
    </w:p>
    <w:p w:rsidR="00C328C9" w:rsidRPr="00A11646" w:rsidRDefault="00C328C9" w:rsidP="00C328C9">
      <w:pPr>
        <w:pStyle w:val="a5"/>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 xml:space="preserve">этап </w:t>
      </w:r>
      <w:r w:rsidR="007C7980">
        <w:rPr>
          <w:rFonts w:ascii="Times New Roman" w:hAnsi="Times New Roman" w:cs="Times New Roman"/>
          <w:sz w:val="28"/>
          <w:szCs w:val="28"/>
          <w:lang w:val="uz-Cyrl-UZ"/>
        </w:rPr>
        <w:t xml:space="preserve">- </w:t>
      </w:r>
      <w:r w:rsidRPr="00A11646">
        <w:rPr>
          <w:rFonts w:ascii="Times New Roman" w:hAnsi="Times New Roman" w:cs="Times New Roman"/>
          <w:sz w:val="28"/>
          <w:szCs w:val="28"/>
        </w:rPr>
        <w:t>отмывание и окрашивание;</w:t>
      </w:r>
    </w:p>
    <w:p w:rsidR="00C328C9" w:rsidRPr="00A11646" w:rsidRDefault="00C328C9" w:rsidP="00C328C9">
      <w:pPr>
        <w:pStyle w:val="a5"/>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этап - анализ белковых фракций посредством проведения денситометрии электрофореграмм.</w:t>
      </w:r>
    </w:p>
    <w:p w:rsidR="00C328C9" w:rsidRPr="00A11646" w:rsidRDefault="00C328C9" w:rsidP="00C328C9">
      <w:pPr>
        <w:pStyle w:val="a5"/>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этап - интерпретация результата:</w:t>
      </w:r>
    </w:p>
    <w:p w:rsidR="00C328C9" w:rsidRPr="00A11646" w:rsidRDefault="00C328C9" w:rsidP="00C328C9">
      <w:pPr>
        <w:pStyle w:val="a5"/>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w:t>
      </w:r>
      <w:r w:rsidR="008E3151">
        <w:rPr>
          <w:rFonts w:ascii="Times New Roman" w:hAnsi="Times New Roman" w:cs="Times New Roman"/>
          <w:sz w:val="28"/>
          <w:szCs w:val="28"/>
          <w:lang w:val="uz-Cyrl-UZ"/>
        </w:rPr>
        <w:t xml:space="preserve"> </w:t>
      </w:r>
      <w:r w:rsidRPr="00A11646">
        <w:rPr>
          <w:rFonts w:ascii="Times New Roman" w:hAnsi="Times New Roman" w:cs="Times New Roman"/>
          <w:sz w:val="28"/>
          <w:szCs w:val="28"/>
        </w:rPr>
        <w:t>положительный результат: моноклональная продукция белка — наличие одной полосы иммуноглобулина; легкой цепи; иммуноглобулина и легкой цепи;</w:t>
      </w:r>
    </w:p>
    <w:p w:rsidR="00C328C9" w:rsidRPr="00A11646" w:rsidRDefault="00C328C9" w:rsidP="00C328C9">
      <w:pPr>
        <w:pStyle w:val="a5"/>
        <w:autoSpaceDE w:val="0"/>
        <w:autoSpaceDN w:val="0"/>
        <w:adjustRightInd w:val="0"/>
        <w:spacing w:after="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 отрицательный результат - отсутствие моноклонального компонента и наличие только диффузного окрашивания по всем полоскам гелевой пластины, характерной для нормальной поликлональной продукции иммуноглобулинов и легких цепей (рис. 2.2.2.1. А и Б).</w:t>
      </w:r>
    </w:p>
    <w:p w:rsidR="00C328C9" w:rsidRPr="00A11646" w:rsidRDefault="00C328C9" w:rsidP="00E41F46">
      <w:pPr>
        <w:autoSpaceDE w:val="0"/>
        <w:autoSpaceDN w:val="0"/>
        <w:adjustRightInd w:val="0"/>
        <w:spacing w:after="0" w:line="360" w:lineRule="auto"/>
        <w:jc w:val="both"/>
        <w:rPr>
          <w:rFonts w:ascii="Times New Roman" w:hAnsi="Times New Roman"/>
          <w:sz w:val="28"/>
          <w:szCs w:val="28"/>
        </w:rPr>
      </w:pPr>
      <w:r w:rsidRPr="00A11646">
        <w:rPr>
          <w:noProof/>
        </w:rPr>
        <w:t>А</w:t>
      </w:r>
      <w:r w:rsidRPr="00A11646">
        <w:rPr>
          <w:noProof/>
        </w:rPr>
        <w:drawing>
          <wp:inline distT="0" distB="0" distL="0" distR="0">
            <wp:extent cx="2705100" cy="2880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64" t="9941" r="32376"/>
                    <a:stretch/>
                  </pic:blipFill>
                  <pic:spPr bwMode="auto">
                    <a:xfrm>
                      <a:off x="0" y="0"/>
                      <a:ext cx="2760507" cy="293935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11646">
        <w:rPr>
          <w:noProof/>
        </w:rPr>
        <w:t xml:space="preserve">  Б </w:t>
      </w:r>
      <w:r w:rsidRPr="00A11646">
        <w:rPr>
          <w:noProof/>
        </w:rPr>
        <w:drawing>
          <wp:inline distT="0" distB="0" distL="0" distR="0">
            <wp:extent cx="2635885" cy="2865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44" t="3314" r="26431" b="7901"/>
                    <a:stretch/>
                  </pic:blipFill>
                  <pic:spPr bwMode="auto">
                    <a:xfrm>
                      <a:off x="0" y="0"/>
                      <a:ext cx="2646180" cy="2876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lang w:val="uz-Cyrl-UZ"/>
        </w:rPr>
      </w:pPr>
      <w:r w:rsidRPr="00A11646">
        <w:rPr>
          <w:rFonts w:ascii="Times New Roman" w:hAnsi="Times New Roman"/>
          <w:b/>
          <w:sz w:val="28"/>
          <w:szCs w:val="28"/>
        </w:rPr>
        <w:t xml:space="preserve">Рис.2.2.2.1. </w:t>
      </w:r>
      <w:r w:rsidRPr="00A11646">
        <w:rPr>
          <w:rFonts w:ascii="Times New Roman" w:hAnsi="Times New Roman"/>
          <w:b/>
          <w:sz w:val="28"/>
          <w:szCs w:val="28"/>
          <w:lang w:val="uz-Cyrl-UZ"/>
        </w:rPr>
        <w:t xml:space="preserve">А и Б. </w:t>
      </w:r>
      <w:r w:rsidRPr="00A11646">
        <w:rPr>
          <w:rFonts w:ascii="Times New Roman" w:hAnsi="Times New Roman"/>
          <w:b/>
          <w:sz w:val="28"/>
          <w:szCs w:val="28"/>
        </w:rPr>
        <w:t xml:space="preserve">Обнаружение легких цепей иммуноглобулинов </w:t>
      </w:r>
      <w:bookmarkStart w:id="48" w:name="_Hlk5480005"/>
      <w:r w:rsidRPr="00A11646">
        <w:rPr>
          <w:rFonts w:ascii="Times New Roman" w:hAnsi="Times New Roman"/>
          <w:b/>
          <w:sz w:val="28"/>
          <w:szCs w:val="28"/>
        </w:rPr>
        <w:t xml:space="preserve">κ, λ </w:t>
      </w:r>
      <w:bookmarkEnd w:id="48"/>
      <w:r w:rsidRPr="00A11646">
        <w:rPr>
          <w:rFonts w:ascii="Times New Roman" w:hAnsi="Times New Roman"/>
          <w:b/>
          <w:sz w:val="28"/>
          <w:szCs w:val="28"/>
        </w:rPr>
        <w:t xml:space="preserve">и </w:t>
      </w:r>
      <w:r w:rsidRPr="00A11646">
        <w:rPr>
          <w:rFonts w:ascii="Times New Roman" w:hAnsi="Times New Roman"/>
          <w:b/>
          <w:sz w:val="28"/>
          <w:szCs w:val="28"/>
          <w:lang w:val="en-US"/>
        </w:rPr>
        <w:t>free</w:t>
      </w:r>
      <w:r w:rsidRPr="00A11646">
        <w:rPr>
          <w:rFonts w:ascii="Times New Roman" w:hAnsi="Times New Roman"/>
          <w:b/>
          <w:sz w:val="28"/>
          <w:szCs w:val="28"/>
        </w:rPr>
        <w:t xml:space="preserve"> κ, λ</w:t>
      </w:r>
      <w:r w:rsidRPr="00A11646">
        <w:rPr>
          <w:rFonts w:ascii="Times New Roman" w:hAnsi="Times New Roman"/>
          <w:b/>
          <w:sz w:val="28"/>
          <w:szCs w:val="28"/>
          <w:lang w:val="uz-Cyrl-UZ"/>
        </w:rPr>
        <w:t>.</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3.Инструментальные методы исследования:</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-стандартная обзорная рентгенография костей скелета для определения наличия, распространенности и выраженности деструкции </w:t>
      </w:r>
      <w:r w:rsidRPr="00A11646">
        <w:rPr>
          <w:rFonts w:ascii="Times New Roman" w:hAnsi="Times New Roman"/>
          <w:sz w:val="28"/>
          <w:szCs w:val="28"/>
        </w:rPr>
        <w:lastRenderedPageBreak/>
        <w:t xml:space="preserve">костей, а также для выявления наличия плазмоцитом проводилась в </w:t>
      </w:r>
      <w:r w:rsidRPr="00A11646">
        <w:rPr>
          <w:rFonts w:ascii="Times New Roman" w:hAnsi="Times New Roman"/>
          <w:sz w:val="28"/>
          <w:szCs w:val="28"/>
          <w:lang w:val="en-US"/>
        </w:rPr>
        <w:t>EDR</w:t>
      </w:r>
      <w:r w:rsidRPr="00A11646">
        <w:rPr>
          <w:rFonts w:ascii="Times New Roman" w:hAnsi="Times New Roman"/>
          <w:sz w:val="28"/>
          <w:szCs w:val="28"/>
        </w:rPr>
        <w:t>-750</w:t>
      </w:r>
      <w:r w:rsidRPr="00A11646">
        <w:rPr>
          <w:rFonts w:ascii="Times New Roman" w:hAnsi="Times New Roman"/>
          <w:sz w:val="28"/>
          <w:szCs w:val="28"/>
          <w:lang w:val="en-US"/>
        </w:rPr>
        <w:t>B</w:t>
      </w:r>
      <w:r w:rsidRPr="00A11646">
        <w:rPr>
          <w:rFonts w:ascii="Times New Roman" w:hAnsi="Times New Roman"/>
          <w:sz w:val="28"/>
          <w:szCs w:val="28"/>
        </w:rPr>
        <w:t xml:space="preserve"> (Венгрия);</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-магнитно-резонансная томография (МРТ) и компьютерная томография (КТ) проводились в случаях необходимости более точного изучения костных поражений с детализацией остеодеструкций костей скелета.</w:t>
      </w:r>
    </w:p>
    <w:p w:rsidR="00C328C9" w:rsidRPr="00A11646" w:rsidRDefault="00C328C9" w:rsidP="00C328C9">
      <w:pPr>
        <w:spacing w:line="360" w:lineRule="auto"/>
        <w:ind w:firstLine="708"/>
        <w:jc w:val="center"/>
        <w:rPr>
          <w:rFonts w:ascii="Times New Roman" w:hAnsi="Times New Roman"/>
          <w:b/>
          <w:sz w:val="28"/>
          <w:szCs w:val="28"/>
        </w:rPr>
      </w:pPr>
      <w:bookmarkStart w:id="49" w:name="_Hlk25919047"/>
      <w:bookmarkStart w:id="50" w:name="_Hlk8233686"/>
      <w:r w:rsidRPr="00A11646">
        <w:rPr>
          <w:rFonts w:ascii="Times New Roman" w:hAnsi="Times New Roman"/>
          <w:b/>
          <w:sz w:val="28"/>
          <w:szCs w:val="28"/>
        </w:rPr>
        <w:t>§</w:t>
      </w:r>
      <w:bookmarkEnd w:id="49"/>
      <w:r w:rsidRPr="00A11646">
        <w:rPr>
          <w:rFonts w:ascii="Times New Roman" w:hAnsi="Times New Roman"/>
          <w:b/>
          <w:sz w:val="28"/>
          <w:szCs w:val="28"/>
        </w:rPr>
        <w:t>2.3</w:t>
      </w:r>
      <w:r w:rsidRPr="00A11646">
        <w:rPr>
          <w:rFonts w:ascii="Times New Roman" w:hAnsi="Times New Roman"/>
          <w:b/>
          <w:sz w:val="28"/>
          <w:szCs w:val="28"/>
          <w:lang w:val="uz-Cyrl-UZ"/>
        </w:rPr>
        <w:t>.</w:t>
      </w:r>
      <w:r w:rsidRPr="00A11646">
        <w:rPr>
          <w:rFonts w:ascii="Times New Roman" w:hAnsi="Times New Roman"/>
          <w:b/>
          <w:sz w:val="28"/>
          <w:szCs w:val="28"/>
        </w:rPr>
        <w:t xml:space="preserve"> Характеристика методов лечения</w:t>
      </w:r>
    </w:p>
    <w:bookmarkEnd w:id="50"/>
    <w:p w:rsidR="00C328C9" w:rsidRPr="00A11646" w:rsidRDefault="00C328C9" w:rsidP="00C328C9">
      <w:pPr>
        <w:pStyle w:val="a3"/>
        <w:spacing w:line="360" w:lineRule="auto"/>
        <w:ind w:firstLine="709"/>
        <w:jc w:val="both"/>
        <w:rPr>
          <w:color w:val="auto"/>
        </w:rPr>
      </w:pPr>
      <w:r w:rsidRPr="00A11646">
        <w:rPr>
          <w:color w:val="auto"/>
        </w:rPr>
        <w:t xml:space="preserve">Для оценки влияния противоопухолевой терапии на исследуемые показатели у пациентов множественной миеломой проводилось их исследование   до назначения курса терапии и после его окончания. </w:t>
      </w:r>
    </w:p>
    <w:p w:rsidR="00C328C9" w:rsidRPr="00A11646" w:rsidRDefault="00C328C9" w:rsidP="00C328C9">
      <w:pPr>
        <w:pStyle w:val="a3"/>
        <w:spacing w:line="360" w:lineRule="auto"/>
        <w:ind w:firstLine="709"/>
        <w:jc w:val="both"/>
        <w:rPr>
          <w:color w:val="auto"/>
        </w:rPr>
      </w:pPr>
      <w:r w:rsidRPr="00A11646">
        <w:rPr>
          <w:color w:val="auto"/>
        </w:rPr>
        <w:t xml:space="preserve">Как указывалось выше </w:t>
      </w:r>
      <w:bookmarkStart w:id="51" w:name="_Hlk20248150"/>
      <w:r w:rsidRPr="00A11646">
        <w:rPr>
          <w:color w:val="auto"/>
        </w:rPr>
        <w:t>больные в зависимости от метода лечения подразделены на две подгруппы:</w:t>
      </w:r>
    </w:p>
    <w:p w:rsidR="00C328C9" w:rsidRPr="00A11646" w:rsidRDefault="00C328C9" w:rsidP="00C328C9">
      <w:pPr>
        <w:pStyle w:val="a3"/>
        <w:spacing w:line="360" w:lineRule="auto"/>
        <w:ind w:firstLine="709"/>
        <w:jc w:val="both"/>
        <w:rPr>
          <w:color w:val="auto"/>
          <w:lang w:val="uz-Cyrl-UZ"/>
        </w:rPr>
      </w:pPr>
      <w:r w:rsidRPr="00A11646">
        <w:rPr>
          <w:color w:val="auto"/>
        </w:rPr>
        <w:t>«А» подгруппа (</w:t>
      </w:r>
      <w:r w:rsidRPr="00A11646">
        <w:rPr>
          <w:color w:val="auto"/>
          <w:lang w:val="en-US"/>
        </w:rPr>
        <w:t>n</w:t>
      </w:r>
      <w:r w:rsidRPr="00A11646">
        <w:rPr>
          <w:color w:val="auto"/>
        </w:rPr>
        <w:t>=87, 38 мужчин и 49 женщин)</w:t>
      </w:r>
      <w:r w:rsidRPr="00A11646">
        <w:rPr>
          <w:color w:val="auto"/>
          <w:lang w:val="uz-Cyrl-UZ"/>
        </w:rPr>
        <w:t xml:space="preserve">, получали 4 курса ПХТ по </w:t>
      </w:r>
      <w:bookmarkStart w:id="52" w:name="_Hlk5091116"/>
      <w:r w:rsidRPr="00A11646">
        <w:rPr>
          <w:color w:val="auto"/>
          <w:lang w:val="en-US"/>
        </w:rPr>
        <w:t>V</w:t>
      </w:r>
      <w:r w:rsidRPr="00A11646">
        <w:rPr>
          <w:color w:val="auto"/>
          <w:lang w:val="uz-Cyrl-UZ"/>
        </w:rPr>
        <w:t>С</w:t>
      </w:r>
      <w:r w:rsidRPr="00A11646">
        <w:rPr>
          <w:color w:val="auto"/>
          <w:lang w:val="en-US"/>
        </w:rPr>
        <w:t>D</w:t>
      </w:r>
      <w:bookmarkEnd w:id="52"/>
      <w:r w:rsidRPr="00A11646">
        <w:rPr>
          <w:color w:val="auto"/>
        </w:rPr>
        <w:t xml:space="preserve"> (</w:t>
      </w:r>
      <w:r w:rsidRPr="00A11646">
        <w:rPr>
          <w:color w:val="auto"/>
          <w:lang w:val="uz-Cyrl-UZ"/>
        </w:rPr>
        <w:t>бортезомиб (PS-341) по 1,3 мг/м</w:t>
      </w:r>
      <w:r w:rsidRPr="00A11646">
        <w:rPr>
          <w:color w:val="auto"/>
          <w:vertAlign w:val="superscript"/>
          <w:lang w:val="uz-Cyrl-UZ"/>
        </w:rPr>
        <w:t>2</w:t>
      </w:r>
      <w:r w:rsidRPr="00A11646">
        <w:rPr>
          <w:color w:val="auto"/>
          <w:lang w:val="uz-Cyrl-UZ"/>
        </w:rPr>
        <w:t xml:space="preserve"> внутривенно в 1, 4, 8 и 11 дни; циклофосфамид по 300 мг/м</w:t>
      </w:r>
      <w:r w:rsidRPr="00A11646">
        <w:rPr>
          <w:color w:val="auto"/>
          <w:vertAlign w:val="superscript"/>
          <w:lang w:val="uz-Cyrl-UZ"/>
        </w:rPr>
        <w:t>2</w:t>
      </w:r>
      <w:r w:rsidR="008E3151">
        <w:rPr>
          <w:color w:val="auto"/>
          <w:vertAlign w:val="superscript"/>
          <w:lang w:val="uz-Cyrl-UZ"/>
        </w:rPr>
        <w:t xml:space="preserve"> </w:t>
      </w:r>
      <w:r w:rsidRPr="00A11646">
        <w:rPr>
          <w:color w:val="auto"/>
          <w:lang w:val="uz-Cyrl-UZ"/>
        </w:rPr>
        <w:t>внутривенно в 1, 8, 15 дни и дексаметазон по 20 мг перорально или внутривенно в дни 1-2, 4-5, 8-9, 11-12);</w:t>
      </w:r>
    </w:p>
    <w:p w:rsidR="00C328C9" w:rsidRPr="00A11646" w:rsidRDefault="00C328C9" w:rsidP="00C328C9">
      <w:pPr>
        <w:pStyle w:val="a3"/>
        <w:spacing w:line="360" w:lineRule="auto"/>
        <w:ind w:firstLine="709"/>
        <w:jc w:val="both"/>
        <w:rPr>
          <w:color w:val="auto"/>
        </w:rPr>
      </w:pPr>
      <w:r w:rsidRPr="00A11646">
        <w:rPr>
          <w:color w:val="auto"/>
        </w:rPr>
        <w:t>«Б» подгруппа (</w:t>
      </w:r>
      <w:r w:rsidRPr="00A11646">
        <w:rPr>
          <w:color w:val="auto"/>
          <w:lang w:val="en-US"/>
        </w:rPr>
        <w:t>n</w:t>
      </w:r>
      <w:r w:rsidRPr="00A11646">
        <w:rPr>
          <w:color w:val="auto"/>
        </w:rPr>
        <w:t>=20, 14 мужчин и 6 женщин)</w:t>
      </w:r>
      <w:r w:rsidRPr="00A11646">
        <w:rPr>
          <w:color w:val="auto"/>
          <w:lang w:val="uz-Cyrl-UZ"/>
        </w:rPr>
        <w:t xml:space="preserve">, получали 4 курса ПХТ по </w:t>
      </w:r>
      <w:r w:rsidRPr="00A11646">
        <w:rPr>
          <w:color w:val="auto"/>
          <w:lang w:val="en-US"/>
        </w:rPr>
        <w:t>V</w:t>
      </w:r>
      <w:r w:rsidRPr="00A11646">
        <w:rPr>
          <w:color w:val="auto"/>
          <w:lang w:val="uz-Cyrl-UZ"/>
        </w:rPr>
        <w:t>С</w:t>
      </w:r>
      <w:r w:rsidRPr="00A11646">
        <w:rPr>
          <w:color w:val="auto"/>
          <w:lang w:val="en-US"/>
        </w:rPr>
        <w:t>D</w:t>
      </w:r>
      <w:r w:rsidRPr="00A11646">
        <w:rPr>
          <w:color w:val="auto"/>
        </w:rPr>
        <w:t xml:space="preserve"> (</w:t>
      </w:r>
      <w:r w:rsidRPr="00A11646">
        <w:rPr>
          <w:color w:val="auto"/>
          <w:lang w:val="uz-Cyrl-UZ"/>
        </w:rPr>
        <w:t>бортезомиб (PS-341) по 1,3 мг/м</w:t>
      </w:r>
      <w:r w:rsidRPr="00A11646">
        <w:rPr>
          <w:color w:val="auto"/>
          <w:vertAlign w:val="superscript"/>
          <w:lang w:val="uz-Cyrl-UZ"/>
        </w:rPr>
        <w:t>2</w:t>
      </w:r>
      <w:r w:rsidRPr="00A11646">
        <w:rPr>
          <w:color w:val="auto"/>
          <w:lang w:val="uz-Cyrl-UZ"/>
        </w:rPr>
        <w:t xml:space="preserve"> внутривенно в 1, 4, 8 и 11 дни; циклофосфамид по 300 мг/м</w:t>
      </w:r>
      <w:r w:rsidRPr="00A11646">
        <w:rPr>
          <w:color w:val="auto"/>
          <w:vertAlign w:val="superscript"/>
          <w:lang w:val="uz-Cyrl-UZ"/>
        </w:rPr>
        <w:t>2</w:t>
      </w:r>
      <w:r w:rsidR="008E3151">
        <w:rPr>
          <w:color w:val="auto"/>
          <w:vertAlign w:val="superscript"/>
          <w:lang w:val="uz-Cyrl-UZ"/>
        </w:rPr>
        <w:t xml:space="preserve"> </w:t>
      </w:r>
      <w:r w:rsidRPr="00A11646">
        <w:rPr>
          <w:color w:val="auto"/>
          <w:lang w:val="uz-Cyrl-UZ"/>
        </w:rPr>
        <w:t>внутривенно в 1, 8, 15 дни и дексаметазон по 20 мг перорально или внутривенно в дни 1-2, 4-5, 8-9, 11-12) с последующей аутоТГСК (таблица 2.3.1).</w:t>
      </w:r>
    </w:p>
    <w:bookmarkEnd w:id="51"/>
    <w:p w:rsidR="00C328C9" w:rsidRPr="00A11646" w:rsidRDefault="00C328C9" w:rsidP="00C328C9">
      <w:pPr>
        <w:pStyle w:val="a3"/>
        <w:spacing w:line="360" w:lineRule="auto"/>
        <w:ind w:firstLine="708"/>
        <w:jc w:val="right"/>
        <w:rPr>
          <w:b/>
          <w:color w:val="auto"/>
        </w:rPr>
      </w:pPr>
      <w:r w:rsidRPr="00A11646">
        <w:rPr>
          <w:b/>
          <w:color w:val="auto"/>
        </w:rPr>
        <w:t>Таблица 2.3.1.</w:t>
      </w:r>
    </w:p>
    <w:p w:rsidR="00C328C9" w:rsidRPr="00A11646" w:rsidRDefault="00C328C9" w:rsidP="00C328C9">
      <w:pPr>
        <w:pStyle w:val="a3"/>
        <w:spacing w:line="360" w:lineRule="auto"/>
        <w:ind w:firstLine="708"/>
        <w:jc w:val="center"/>
        <w:rPr>
          <w:b/>
          <w:color w:val="auto"/>
        </w:rPr>
      </w:pPr>
      <w:r w:rsidRPr="00A11646">
        <w:rPr>
          <w:b/>
          <w:color w:val="auto"/>
        </w:rPr>
        <w:t xml:space="preserve">Распределение больных ММ в зависимости от метода лечения </w:t>
      </w:r>
    </w:p>
    <w:tbl>
      <w:tblPr>
        <w:tblStyle w:val="a6"/>
        <w:tblW w:w="0" w:type="auto"/>
        <w:tblLook w:val="04A0"/>
      </w:tblPr>
      <w:tblGrid>
        <w:gridCol w:w="656"/>
        <w:gridCol w:w="5134"/>
        <w:gridCol w:w="1749"/>
        <w:gridCol w:w="1748"/>
      </w:tblGrid>
      <w:tr w:rsidR="00A11646" w:rsidRPr="00A11646" w:rsidTr="00C328C9">
        <w:trPr>
          <w:trHeight w:val="463"/>
        </w:trPr>
        <w:tc>
          <w:tcPr>
            <w:tcW w:w="675" w:type="dxa"/>
            <w:vMerge w:val="restart"/>
          </w:tcPr>
          <w:p w:rsidR="00C328C9" w:rsidRPr="00A11646" w:rsidRDefault="00C328C9" w:rsidP="00C328C9">
            <w:pPr>
              <w:pStyle w:val="a3"/>
              <w:spacing w:line="360" w:lineRule="auto"/>
              <w:jc w:val="right"/>
              <w:rPr>
                <w:b/>
                <w:color w:val="auto"/>
              </w:rPr>
            </w:pPr>
            <w:r w:rsidRPr="00A11646">
              <w:rPr>
                <w:b/>
                <w:color w:val="auto"/>
              </w:rPr>
              <w:t>№</w:t>
            </w:r>
          </w:p>
        </w:tc>
        <w:tc>
          <w:tcPr>
            <w:tcW w:w="5529" w:type="dxa"/>
            <w:vMerge w:val="restart"/>
          </w:tcPr>
          <w:p w:rsidR="00C328C9" w:rsidRPr="00A11646" w:rsidRDefault="00C328C9" w:rsidP="00C328C9">
            <w:pPr>
              <w:pStyle w:val="a3"/>
              <w:spacing w:line="360" w:lineRule="auto"/>
              <w:jc w:val="center"/>
              <w:rPr>
                <w:b/>
                <w:color w:val="auto"/>
              </w:rPr>
            </w:pPr>
            <w:r w:rsidRPr="00A11646">
              <w:rPr>
                <w:b/>
                <w:color w:val="auto"/>
              </w:rPr>
              <w:t>Метод лечения</w:t>
            </w:r>
          </w:p>
        </w:tc>
        <w:tc>
          <w:tcPr>
            <w:tcW w:w="3701" w:type="dxa"/>
            <w:gridSpan w:val="2"/>
          </w:tcPr>
          <w:p w:rsidR="00C328C9" w:rsidRPr="00A11646" w:rsidRDefault="00C328C9" w:rsidP="00C328C9">
            <w:pPr>
              <w:pStyle w:val="a3"/>
              <w:spacing w:line="360" w:lineRule="auto"/>
              <w:jc w:val="center"/>
              <w:rPr>
                <w:b/>
                <w:color w:val="auto"/>
              </w:rPr>
            </w:pPr>
            <w:r w:rsidRPr="00A11646">
              <w:rPr>
                <w:b/>
                <w:color w:val="auto"/>
              </w:rPr>
              <w:t>Количество больных ММ</w:t>
            </w:r>
          </w:p>
        </w:tc>
      </w:tr>
      <w:tr w:rsidR="00A11646" w:rsidRPr="00A11646" w:rsidTr="00C328C9">
        <w:trPr>
          <w:trHeight w:val="497"/>
        </w:trPr>
        <w:tc>
          <w:tcPr>
            <w:tcW w:w="675" w:type="dxa"/>
            <w:vMerge/>
          </w:tcPr>
          <w:p w:rsidR="00C328C9" w:rsidRPr="00A11646" w:rsidRDefault="00C328C9" w:rsidP="00C328C9">
            <w:pPr>
              <w:pStyle w:val="a3"/>
              <w:spacing w:line="360" w:lineRule="auto"/>
              <w:jc w:val="right"/>
              <w:rPr>
                <w:b/>
                <w:color w:val="auto"/>
              </w:rPr>
            </w:pPr>
          </w:p>
        </w:tc>
        <w:tc>
          <w:tcPr>
            <w:tcW w:w="5529" w:type="dxa"/>
            <w:vMerge/>
          </w:tcPr>
          <w:p w:rsidR="00C328C9" w:rsidRPr="00A11646" w:rsidRDefault="00C328C9" w:rsidP="00C328C9">
            <w:pPr>
              <w:pStyle w:val="a3"/>
              <w:spacing w:line="360" w:lineRule="auto"/>
              <w:jc w:val="center"/>
              <w:rPr>
                <w:b/>
                <w:color w:val="auto"/>
              </w:rPr>
            </w:pPr>
          </w:p>
        </w:tc>
        <w:tc>
          <w:tcPr>
            <w:tcW w:w="1851" w:type="dxa"/>
          </w:tcPr>
          <w:p w:rsidR="00C328C9" w:rsidRPr="00A11646" w:rsidRDefault="00C328C9" w:rsidP="00C328C9">
            <w:pPr>
              <w:pStyle w:val="a3"/>
              <w:spacing w:line="360" w:lineRule="auto"/>
              <w:jc w:val="center"/>
              <w:rPr>
                <w:b/>
                <w:color w:val="auto"/>
              </w:rPr>
            </w:pPr>
            <w:r w:rsidRPr="00A11646">
              <w:rPr>
                <w:b/>
                <w:color w:val="auto"/>
              </w:rPr>
              <w:t>абс</w:t>
            </w:r>
          </w:p>
        </w:tc>
        <w:tc>
          <w:tcPr>
            <w:tcW w:w="1850" w:type="dxa"/>
          </w:tcPr>
          <w:p w:rsidR="00C328C9" w:rsidRPr="00A11646" w:rsidRDefault="00C328C9" w:rsidP="00C328C9">
            <w:pPr>
              <w:pStyle w:val="a3"/>
              <w:spacing w:line="360" w:lineRule="auto"/>
              <w:jc w:val="center"/>
              <w:rPr>
                <w:b/>
                <w:color w:val="auto"/>
              </w:rPr>
            </w:pPr>
            <w:r w:rsidRPr="00A11646">
              <w:rPr>
                <w:b/>
                <w:color w:val="auto"/>
              </w:rPr>
              <w:t>%</w:t>
            </w:r>
          </w:p>
        </w:tc>
      </w:tr>
      <w:tr w:rsidR="00A11646" w:rsidRPr="00A11646" w:rsidTr="00C328C9">
        <w:tc>
          <w:tcPr>
            <w:tcW w:w="675" w:type="dxa"/>
          </w:tcPr>
          <w:p w:rsidR="00C328C9" w:rsidRPr="00A11646" w:rsidRDefault="00C328C9" w:rsidP="00C328C9">
            <w:pPr>
              <w:pStyle w:val="a3"/>
              <w:spacing w:line="360" w:lineRule="auto"/>
              <w:jc w:val="right"/>
              <w:rPr>
                <w:b/>
                <w:color w:val="auto"/>
              </w:rPr>
            </w:pPr>
            <w:r w:rsidRPr="00A11646">
              <w:rPr>
                <w:b/>
                <w:color w:val="auto"/>
              </w:rPr>
              <w:t>1</w:t>
            </w:r>
          </w:p>
        </w:tc>
        <w:tc>
          <w:tcPr>
            <w:tcW w:w="5529" w:type="dxa"/>
          </w:tcPr>
          <w:p w:rsidR="00C328C9" w:rsidRPr="00A11646" w:rsidRDefault="00C328C9" w:rsidP="00C328C9">
            <w:pPr>
              <w:pStyle w:val="a3"/>
              <w:spacing w:line="360" w:lineRule="auto"/>
              <w:jc w:val="center"/>
              <w:rPr>
                <w:color w:val="auto"/>
                <w:lang w:val="en-US"/>
              </w:rPr>
            </w:pPr>
            <w:r w:rsidRPr="00A11646">
              <w:rPr>
                <w:color w:val="auto"/>
                <w:lang w:val="en-US"/>
              </w:rPr>
              <w:t>VCD</w:t>
            </w:r>
          </w:p>
        </w:tc>
        <w:tc>
          <w:tcPr>
            <w:tcW w:w="1851" w:type="dxa"/>
          </w:tcPr>
          <w:p w:rsidR="00C328C9" w:rsidRPr="00A11646" w:rsidRDefault="00C328C9" w:rsidP="00C328C9">
            <w:pPr>
              <w:pStyle w:val="a3"/>
              <w:spacing w:line="360" w:lineRule="auto"/>
              <w:jc w:val="center"/>
              <w:rPr>
                <w:color w:val="auto"/>
              </w:rPr>
            </w:pPr>
            <w:r w:rsidRPr="00A11646">
              <w:rPr>
                <w:color w:val="auto"/>
              </w:rPr>
              <w:t>87</w:t>
            </w:r>
          </w:p>
        </w:tc>
        <w:tc>
          <w:tcPr>
            <w:tcW w:w="1850" w:type="dxa"/>
          </w:tcPr>
          <w:p w:rsidR="00C328C9" w:rsidRPr="00A11646" w:rsidRDefault="00C328C9" w:rsidP="00C328C9">
            <w:pPr>
              <w:pStyle w:val="a3"/>
              <w:spacing w:line="360" w:lineRule="auto"/>
              <w:jc w:val="center"/>
              <w:rPr>
                <w:color w:val="auto"/>
              </w:rPr>
            </w:pPr>
            <w:r w:rsidRPr="00A11646">
              <w:rPr>
                <w:color w:val="auto"/>
              </w:rPr>
              <w:t>81,3</w:t>
            </w:r>
          </w:p>
        </w:tc>
      </w:tr>
      <w:tr w:rsidR="00A11646" w:rsidRPr="00A11646" w:rsidTr="00C328C9">
        <w:trPr>
          <w:trHeight w:val="803"/>
        </w:trPr>
        <w:tc>
          <w:tcPr>
            <w:tcW w:w="675" w:type="dxa"/>
          </w:tcPr>
          <w:p w:rsidR="00C328C9" w:rsidRPr="00A11646" w:rsidRDefault="00C328C9" w:rsidP="00C328C9">
            <w:pPr>
              <w:pStyle w:val="a3"/>
              <w:spacing w:line="360" w:lineRule="auto"/>
              <w:jc w:val="right"/>
              <w:rPr>
                <w:b/>
                <w:color w:val="auto"/>
              </w:rPr>
            </w:pPr>
            <w:r w:rsidRPr="00A11646">
              <w:rPr>
                <w:b/>
                <w:color w:val="auto"/>
              </w:rPr>
              <w:t>2</w:t>
            </w:r>
          </w:p>
        </w:tc>
        <w:tc>
          <w:tcPr>
            <w:tcW w:w="5529" w:type="dxa"/>
          </w:tcPr>
          <w:p w:rsidR="00C328C9" w:rsidRPr="00A11646" w:rsidRDefault="00C328C9" w:rsidP="00C328C9">
            <w:pPr>
              <w:pStyle w:val="a3"/>
              <w:spacing w:line="360" w:lineRule="auto"/>
              <w:jc w:val="center"/>
              <w:rPr>
                <w:color w:val="auto"/>
                <w:lang w:val="uz-Cyrl-UZ"/>
              </w:rPr>
            </w:pPr>
            <w:r w:rsidRPr="00A11646">
              <w:rPr>
                <w:color w:val="auto"/>
                <w:lang w:val="en-US"/>
              </w:rPr>
              <w:t>VCD</w:t>
            </w:r>
            <w:r w:rsidRPr="00A11646">
              <w:rPr>
                <w:color w:val="auto"/>
                <w:lang w:val="uz-Cyrl-UZ"/>
              </w:rPr>
              <w:t xml:space="preserve"> +АутоТГСК</w:t>
            </w:r>
          </w:p>
        </w:tc>
        <w:tc>
          <w:tcPr>
            <w:tcW w:w="1851" w:type="dxa"/>
          </w:tcPr>
          <w:p w:rsidR="00C328C9" w:rsidRPr="00A11646" w:rsidRDefault="00C328C9" w:rsidP="00C328C9">
            <w:pPr>
              <w:pStyle w:val="a3"/>
              <w:spacing w:line="360" w:lineRule="auto"/>
              <w:jc w:val="center"/>
              <w:rPr>
                <w:color w:val="auto"/>
              </w:rPr>
            </w:pPr>
            <w:r w:rsidRPr="00A11646">
              <w:rPr>
                <w:color w:val="auto"/>
              </w:rPr>
              <w:t>20</w:t>
            </w:r>
          </w:p>
        </w:tc>
        <w:tc>
          <w:tcPr>
            <w:tcW w:w="1850" w:type="dxa"/>
          </w:tcPr>
          <w:p w:rsidR="00C328C9" w:rsidRPr="00A11646" w:rsidRDefault="00C328C9" w:rsidP="00C328C9">
            <w:pPr>
              <w:pStyle w:val="a3"/>
              <w:spacing w:line="360" w:lineRule="auto"/>
              <w:jc w:val="center"/>
              <w:rPr>
                <w:color w:val="auto"/>
              </w:rPr>
            </w:pPr>
            <w:r w:rsidRPr="00A11646">
              <w:rPr>
                <w:color w:val="auto"/>
              </w:rPr>
              <w:t>18,7</w:t>
            </w:r>
          </w:p>
        </w:tc>
      </w:tr>
    </w:tbl>
    <w:p w:rsidR="00C328C9" w:rsidRPr="00A11646" w:rsidRDefault="00C328C9" w:rsidP="00C328C9">
      <w:pPr>
        <w:spacing w:line="360" w:lineRule="auto"/>
        <w:ind w:firstLine="708"/>
        <w:jc w:val="both"/>
        <w:rPr>
          <w:rFonts w:ascii="Times New Roman" w:hAnsi="Times New Roman"/>
          <w:sz w:val="28"/>
          <w:szCs w:val="28"/>
        </w:rPr>
      </w:pPr>
    </w:p>
    <w:p w:rsidR="00C328C9" w:rsidRPr="00A11646" w:rsidRDefault="00C328C9" w:rsidP="00C328C9">
      <w:pPr>
        <w:spacing w:line="360" w:lineRule="auto"/>
        <w:ind w:firstLine="708"/>
        <w:jc w:val="center"/>
        <w:rPr>
          <w:rFonts w:ascii="Times New Roman" w:hAnsi="Times New Roman"/>
          <w:b/>
          <w:sz w:val="28"/>
          <w:szCs w:val="28"/>
        </w:rPr>
      </w:pPr>
      <w:bookmarkStart w:id="53" w:name="_Hlk8233755"/>
      <w:r w:rsidRPr="00A11646">
        <w:rPr>
          <w:rFonts w:ascii="Times New Roman" w:hAnsi="Times New Roman"/>
          <w:b/>
          <w:sz w:val="28"/>
          <w:szCs w:val="28"/>
        </w:rPr>
        <w:lastRenderedPageBreak/>
        <w:t>2.3.1. Методика аутотрансплантации гемопоэтических стволовых клеток (аутоТГСК)</w:t>
      </w:r>
      <w:bookmarkEnd w:id="53"/>
      <w:r w:rsidRPr="00A11646">
        <w:rPr>
          <w:rFonts w:ascii="Times New Roman" w:hAnsi="Times New Roman"/>
          <w:b/>
          <w:sz w:val="28"/>
          <w:szCs w:val="28"/>
        </w:rPr>
        <w:t>:</w:t>
      </w:r>
    </w:p>
    <w:p w:rsidR="00C328C9" w:rsidRPr="00A11646" w:rsidRDefault="00C328C9" w:rsidP="00C328C9">
      <w:pPr>
        <w:spacing w:line="360" w:lineRule="auto"/>
        <w:ind w:firstLine="708"/>
        <w:jc w:val="both"/>
        <w:rPr>
          <w:rFonts w:ascii="Times New Roman" w:hAnsi="Times New Roman"/>
          <w:sz w:val="28"/>
          <w:szCs w:val="28"/>
        </w:rPr>
      </w:pPr>
      <w:r w:rsidRPr="00A11646">
        <w:rPr>
          <w:rFonts w:ascii="Times New Roman" w:hAnsi="Times New Roman"/>
          <w:sz w:val="28"/>
          <w:szCs w:val="28"/>
        </w:rPr>
        <w:t>Проведение аутоТГСК больным ММ выполняется поэтапно. Больным ММ (</w:t>
      </w:r>
      <w:r w:rsidRPr="00A11646">
        <w:rPr>
          <w:rFonts w:ascii="Times New Roman" w:hAnsi="Times New Roman"/>
          <w:sz w:val="28"/>
          <w:szCs w:val="28"/>
          <w:lang w:val="en-US"/>
        </w:rPr>
        <w:t>n</w:t>
      </w:r>
      <w:r w:rsidRPr="00A11646">
        <w:rPr>
          <w:rFonts w:ascii="Times New Roman" w:hAnsi="Times New Roman"/>
          <w:sz w:val="28"/>
          <w:szCs w:val="28"/>
        </w:rPr>
        <w:t xml:space="preserve">=20), ответившим на индукционную терапию </w:t>
      </w:r>
      <w:r w:rsidRPr="00A11646">
        <w:rPr>
          <w:rFonts w:ascii="Times New Roman" w:hAnsi="Times New Roman"/>
          <w:sz w:val="28"/>
          <w:szCs w:val="28"/>
          <w:lang w:val="uz-Cyrl-UZ"/>
        </w:rPr>
        <w:t xml:space="preserve">(после проведения четырех курсов ПХТ по протоколу </w:t>
      </w:r>
      <w:r w:rsidRPr="00A11646">
        <w:rPr>
          <w:rFonts w:ascii="Times New Roman" w:hAnsi="Times New Roman"/>
          <w:sz w:val="28"/>
          <w:szCs w:val="28"/>
          <w:lang w:val="en-US"/>
        </w:rPr>
        <w:t>VCD</w:t>
      </w:r>
      <w:r w:rsidRPr="00A11646">
        <w:rPr>
          <w:rFonts w:ascii="Times New Roman" w:hAnsi="Times New Roman"/>
          <w:sz w:val="28"/>
          <w:szCs w:val="28"/>
          <w:lang w:val="uz-Cyrl-UZ"/>
        </w:rPr>
        <w:t xml:space="preserve">) с достижением </w:t>
      </w:r>
      <w:r w:rsidRPr="00A11646">
        <w:rPr>
          <w:rFonts w:ascii="Times New Roman" w:hAnsi="Times New Roman"/>
          <w:sz w:val="28"/>
          <w:szCs w:val="28"/>
        </w:rPr>
        <w:t xml:space="preserve">клинико-гематологической ремиссии проводилась мобилизации </w:t>
      </w:r>
      <w:r w:rsidRPr="00A11646">
        <w:rPr>
          <w:rFonts w:ascii="Times New Roman" w:hAnsi="Times New Roman"/>
          <w:sz w:val="28"/>
          <w:szCs w:val="28"/>
          <w:lang w:val="en-US"/>
        </w:rPr>
        <w:t>CD</w:t>
      </w:r>
      <w:r w:rsidRPr="00A11646">
        <w:rPr>
          <w:rFonts w:ascii="Times New Roman" w:hAnsi="Times New Roman"/>
          <w:sz w:val="28"/>
          <w:szCs w:val="28"/>
        </w:rPr>
        <w:t xml:space="preserve">34+ стволовых клеток колониестимулирующим фактором (КСФ).  Далее производился сбор </w:t>
      </w:r>
      <w:bookmarkStart w:id="54" w:name="_Hlk5483098"/>
      <w:r w:rsidRPr="00A11646">
        <w:rPr>
          <w:rFonts w:ascii="Times New Roman" w:hAnsi="Times New Roman"/>
          <w:sz w:val="28"/>
          <w:szCs w:val="28"/>
        </w:rPr>
        <w:t>стволовых гемопоэтических клеток</w:t>
      </w:r>
      <w:bookmarkEnd w:id="54"/>
      <w:r w:rsidRPr="00A11646">
        <w:rPr>
          <w:rFonts w:ascii="Times New Roman" w:hAnsi="Times New Roman"/>
          <w:sz w:val="28"/>
          <w:szCs w:val="28"/>
        </w:rPr>
        <w:t xml:space="preserve"> (СГК) периферической крови в достаточном количестве для проведения аутоТГСК. В качестве режима кондиционирования трансплантации все пациенты получали алкилирующий препарат мелфалан в дозе 100 мг/м</w:t>
      </w:r>
      <w:r w:rsidRPr="00A11646">
        <w:rPr>
          <w:rFonts w:ascii="Times New Roman" w:hAnsi="Times New Roman"/>
          <w:sz w:val="28"/>
          <w:szCs w:val="28"/>
          <w:vertAlign w:val="superscript"/>
        </w:rPr>
        <w:t>2</w:t>
      </w:r>
      <w:r w:rsidRPr="00A11646">
        <w:rPr>
          <w:rFonts w:ascii="Times New Roman" w:hAnsi="Times New Roman"/>
          <w:sz w:val="28"/>
          <w:szCs w:val="28"/>
        </w:rPr>
        <w:t xml:space="preserve"> на «–» 2 день. После чего проводилась аутоТГСК на «0» день (схема 2.3.1).</w:t>
      </w:r>
    </w:p>
    <w:p w:rsidR="00C328C9" w:rsidRPr="00A11646" w:rsidRDefault="00C328C9" w:rsidP="00C328C9">
      <w:pPr>
        <w:spacing w:line="360" w:lineRule="auto"/>
        <w:ind w:firstLine="708"/>
        <w:jc w:val="center"/>
        <w:rPr>
          <w:rFonts w:ascii="Times New Roman" w:hAnsi="Times New Roman"/>
          <w:sz w:val="28"/>
          <w:szCs w:val="28"/>
        </w:rPr>
      </w:pPr>
      <w:bookmarkStart w:id="55" w:name="_Hlk8234245"/>
      <w:r w:rsidRPr="00A11646">
        <w:rPr>
          <w:rFonts w:ascii="Times New Roman" w:hAnsi="Times New Roman"/>
          <w:b/>
          <w:sz w:val="28"/>
          <w:szCs w:val="28"/>
        </w:rPr>
        <w:t>2.3.1.1. Мобилизация</w:t>
      </w:r>
      <w:r w:rsidR="007C23AD">
        <w:rPr>
          <w:rFonts w:ascii="Times New Roman" w:hAnsi="Times New Roman"/>
          <w:b/>
          <w:sz w:val="28"/>
          <w:szCs w:val="28"/>
        </w:rPr>
        <w:t xml:space="preserve"> </w:t>
      </w:r>
      <w:r w:rsidRPr="00A11646">
        <w:rPr>
          <w:rFonts w:ascii="Times New Roman" w:hAnsi="Times New Roman"/>
          <w:b/>
          <w:sz w:val="28"/>
          <w:szCs w:val="28"/>
        </w:rPr>
        <w:t>ауто</w:t>
      </w:r>
      <w:r w:rsidR="007C23AD">
        <w:rPr>
          <w:rFonts w:ascii="Times New Roman" w:hAnsi="Times New Roman"/>
          <w:b/>
          <w:sz w:val="28"/>
          <w:szCs w:val="28"/>
        </w:rPr>
        <w:t xml:space="preserve">логических </w:t>
      </w:r>
      <w:r w:rsidRPr="00A11646">
        <w:rPr>
          <w:rFonts w:ascii="Times New Roman" w:hAnsi="Times New Roman"/>
          <w:b/>
          <w:sz w:val="28"/>
          <w:szCs w:val="28"/>
        </w:rPr>
        <w:t xml:space="preserve">гемопоэтических стволовых клеток </w:t>
      </w:r>
    </w:p>
    <w:bookmarkEnd w:id="55"/>
    <w:p w:rsidR="00C328C9" w:rsidRPr="00A11646" w:rsidRDefault="00C328C9" w:rsidP="00C328C9">
      <w:pPr>
        <w:pStyle w:val="a3"/>
        <w:spacing w:line="360" w:lineRule="auto"/>
        <w:ind w:firstLine="708"/>
        <w:jc w:val="both"/>
        <w:rPr>
          <w:color w:val="auto"/>
        </w:rPr>
      </w:pPr>
      <w:r w:rsidRPr="00A11646">
        <w:rPr>
          <w:color w:val="auto"/>
        </w:rPr>
        <w:t>ГСК получали из периферической крови, т.к. она является наиболее предпочтительной и приемлемой для получения ГСК.</w:t>
      </w:r>
    </w:p>
    <w:p w:rsidR="00C328C9" w:rsidRPr="00A11646" w:rsidRDefault="00C328C9" w:rsidP="00C328C9">
      <w:pPr>
        <w:pStyle w:val="a3"/>
        <w:spacing w:line="360" w:lineRule="auto"/>
        <w:ind w:firstLine="708"/>
        <w:jc w:val="both"/>
        <w:rPr>
          <w:color w:val="auto"/>
        </w:rPr>
      </w:pPr>
      <w:r w:rsidRPr="00A11646">
        <w:rPr>
          <w:color w:val="auto"/>
        </w:rPr>
        <w:t>Для мобилизации ГСК из периферической крови в течение 3-6 суток проводилась стимуляция гранулоцитарным колониестимулирующим фактором (Г-КСФ) в дозе 10 МЕ/кг веса больного, после чего с 3 по 6 сутки определялся уровень СD34+ клеток в периферической крови. При достижении количества этих клеток 20 мл/кг и выше производился их сбор с помощью метода афереза с использованием аппарата «</w:t>
      </w:r>
      <w:r w:rsidRPr="00A11646">
        <w:rPr>
          <w:color w:val="auto"/>
          <w:lang w:val="en-US"/>
        </w:rPr>
        <w:t>Fresenius</w:t>
      </w:r>
      <w:r w:rsidRPr="00A11646">
        <w:rPr>
          <w:color w:val="auto"/>
        </w:rPr>
        <w:t>» (</w:t>
      </w:r>
      <w:r w:rsidRPr="00A11646">
        <w:rPr>
          <w:color w:val="auto"/>
          <w:lang w:val="en-US"/>
        </w:rPr>
        <w:t>Germany</w:t>
      </w:r>
      <w:r w:rsidRPr="00A11646">
        <w:rPr>
          <w:color w:val="auto"/>
        </w:rPr>
        <w:t>). Достаточное количество ГСК (2-4 х 10</w:t>
      </w:r>
      <w:r w:rsidRPr="00A11646">
        <w:rPr>
          <w:color w:val="auto"/>
          <w:vertAlign w:val="superscript"/>
        </w:rPr>
        <w:t>6</w:t>
      </w:r>
      <w:r w:rsidRPr="00A11646">
        <w:rPr>
          <w:color w:val="auto"/>
        </w:rPr>
        <w:t>/кг) для проведения одной аутоТГСК определялось методом флоуцитометрии на аппарате «</w:t>
      </w:r>
      <w:r w:rsidRPr="00A11646">
        <w:rPr>
          <w:color w:val="auto"/>
          <w:lang w:val="en-US"/>
        </w:rPr>
        <w:t>BDFACSCalibur</w:t>
      </w:r>
      <w:r w:rsidRPr="00A11646">
        <w:rPr>
          <w:color w:val="auto"/>
        </w:rPr>
        <w:t>» (</w:t>
      </w:r>
      <w:r w:rsidRPr="00A11646">
        <w:rPr>
          <w:color w:val="auto"/>
          <w:lang w:val="en-US"/>
        </w:rPr>
        <w:t>American</w:t>
      </w:r>
      <w:r w:rsidR="007C23AD">
        <w:rPr>
          <w:color w:val="auto"/>
        </w:rPr>
        <w:t xml:space="preserve"> </w:t>
      </w:r>
      <w:r w:rsidRPr="00A11646">
        <w:rPr>
          <w:color w:val="auto"/>
          <w:lang w:val="en-US"/>
        </w:rPr>
        <w:t>company</w:t>
      </w:r>
      <w:r w:rsidRPr="00A11646">
        <w:rPr>
          <w:color w:val="auto"/>
        </w:rPr>
        <w:t>).</w:t>
      </w:r>
    </w:p>
    <w:p w:rsidR="00C328C9" w:rsidRPr="00A11646" w:rsidRDefault="00C328C9" w:rsidP="00C328C9">
      <w:pPr>
        <w:spacing w:line="360" w:lineRule="auto"/>
        <w:ind w:firstLine="708"/>
        <w:jc w:val="center"/>
        <w:rPr>
          <w:rFonts w:ascii="Times New Roman" w:hAnsi="Times New Roman"/>
          <w:b/>
          <w:sz w:val="28"/>
          <w:szCs w:val="28"/>
        </w:rPr>
      </w:pPr>
      <w:bookmarkStart w:id="56" w:name="_Hlk8234289"/>
    </w:p>
    <w:p w:rsidR="00C328C9" w:rsidRPr="00A11646" w:rsidRDefault="00C328C9" w:rsidP="00C328C9">
      <w:pPr>
        <w:spacing w:line="360" w:lineRule="auto"/>
        <w:ind w:firstLine="708"/>
        <w:jc w:val="center"/>
        <w:rPr>
          <w:rFonts w:ascii="Times New Roman" w:hAnsi="Times New Roman"/>
          <w:b/>
          <w:sz w:val="28"/>
          <w:szCs w:val="28"/>
        </w:rPr>
      </w:pPr>
    </w:p>
    <w:p w:rsidR="00C328C9" w:rsidRPr="00A11646" w:rsidRDefault="00C328C9" w:rsidP="00C328C9">
      <w:pPr>
        <w:spacing w:line="360" w:lineRule="auto"/>
        <w:ind w:firstLine="708"/>
        <w:jc w:val="center"/>
        <w:rPr>
          <w:rFonts w:ascii="Times New Roman" w:hAnsi="Times New Roman"/>
          <w:b/>
          <w:sz w:val="28"/>
          <w:szCs w:val="28"/>
        </w:rPr>
      </w:pPr>
    </w:p>
    <w:p w:rsidR="00C328C9" w:rsidRPr="00A11646" w:rsidRDefault="00C328C9" w:rsidP="00C328C9">
      <w:pPr>
        <w:spacing w:line="360" w:lineRule="auto"/>
        <w:ind w:firstLine="708"/>
        <w:jc w:val="center"/>
        <w:rPr>
          <w:rFonts w:ascii="Times New Roman" w:hAnsi="Times New Roman"/>
          <w:sz w:val="28"/>
          <w:szCs w:val="28"/>
        </w:rPr>
      </w:pPr>
      <w:r w:rsidRPr="00A11646">
        <w:rPr>
          <w:rFonts w:ascii="Times New Roman" w:hAnsi="Times New Roman"/>
          <w:b/>
          <w:sz w:val="28"/>
          <w:szCs w:val="28"/>
        </w:rPr>
        <w:lastRenderedPageBreak/>
        <w:t>2.3.1.2. Кондиционирование и трансфузия аутогемопоэтических стволовых клеток крови</w:t>
      </w:r>
    </w:p>
    <w:bookmarkEnd w:id="56"/>
    <w:p w:rsidR="00C328C9" w:rsidRPr="00A11646" w:rsidRDefault="00C328C9" w:rsidP="00C328C9">
      <w:pPr>
        <w:spacing w:line="360" w:lineRule="auto"/>
        <w:ind w:firstLine="708"/>
        <w:jc w:val="both"/>
        <w:rPr>
          <w:rFonts w:ascii="Times New Roman" w:hAnsi="Times New Roman"/>
          <w:sz w:val="28"/>
          <w:szCs w:val="28"/>
        </w:rPr>
      </w:pPr>
      <w:r w:rsidRPr="00A11646">
        <w:rPr>
          <w:rFonts w:ascii="Times New Roman" w:hAnsi="Times New Roman"/>
          <w:sz w:val="28"/>
          <w:szCs w:val="28"/>
        </w:rPr>
        <w:t>Следующим этапом через 4-6 недель после мобилизации является кондиционирование путем введения больному алкилирующего препарата мелфалана (100мг/м</w:t>
      </w:r>
      <w:r w:rsidRPr="00A11646">
        <w:rPr>
          <w:rFonts w:ascii="Times New Roman" w:hAnsi="Times New Roman"/>
          <w:sz w:val="28"/>
          <w:szCs w:val="28"/>
          <w:vertAlign w:val="superscript"/>
        </w:rPr>
        <w:t>2</w:t>
      </w:r>
      <w:r w:rsidRPr="00A11646">
        <w:rPr>
          <w:rFonts w:ascii="Times New Roman" w:hAnsi="Times New Roman"/>
          <w:sz w:val="28"/>
          <w:szCs w:val="28"/>
        </w:rPr>
        <w:t>)</w:t>
      </w:r>
      <w:r w:rsidR="007C23AD">
        <w:rPr>
          <w:rFonts w:ascii="Times New Roman" w:hAnsi="Times New Roman"/>
          <w:sz w:val="28"/>
          <w:szCs w:val="28"/>
        </w:rPr>
        <w:t xml:space="preserve"> на «–2» день</w:t>
      </w:r>
      <w:r w:rsidRPr="00A11646">
        <w:rPr>
          <w:rFonts w:ascii="Times New Roman" w:hAnsi="Times New Roman"/>
          <w:sz w:val="28"/>
          <w:szCs w:val="28"/>
        </w:rPr>
        <w:t>. Далее производится аутотрансплантация ГСК путем их трансфузии внутривенно струйно 5-15 минут</w:t>
      </w:r>
      <w:r w:rsidR="008E3151">
        <w:rPr>
          <w:rFonts w:ascii="Times New Roman" w:hAnsi="Times New Roman"/>
          <w:sz w:val="28"/>
          <w:szCs w:val="28"/>
          <w:lang w:val="uz-Cyrl-UZ"/>
        </w:rPr>
        <w:t xml:space="preserve"> </w:t>
      </w:r>
      <w:r w:rsidR="007C23AD">
        <w:rPr>
          <w:rFonts w:ascii="Times New Roman" w:hAnsi="Times New Roman"/>
          <w:sz w:val="28"/>
          <w:szCs w:val="28"/>
        </w:rPr>
        <w:t>«0» день согласно протоколу аутотрансплантации</w:t>
      </w:r>
      <w:r w:rsidRPr="00A11646">
        <w:rPr>
          <w:rFonts w:ascii="Times New Roman" w:hAnsi="Times New Roman"/>
          <w:sz w:val="28"/>
          <w:szCs w:val="28"/>
        </w:rPr>
        <w:t>.</w:t>
      </w:r>
    </w:p>
    <w:p w:rsidR="00C328C9" w:rsidRPr="00A11646" w:rsidRDefault="00C328C9" w:rsidP="00C328C9">
      <w:pPr>
        <w:spacing w:line="360" w:lineRule="auto"/>
        <w:ind w:firstLine="708"/>
        <w:jc w:val="center"/>
        <w:rPr>
          <w:rFonts w:ascii="Times New Roman" w:hAnsi="Times New Roman"/>
          <w:b/>
          <w:sz w:val="28"/>
          <w:szCs w:val="28"/>
          <w:lang w:val="uz-Cyrl-UZ"/>
        </w:rPr>
      </w:pPr>
      <w:bookmarkStart w:id="57" w:name="_Hlk8234344"/>
      <w:r w:rsidRPr="00A11646">
        <w:rPr>
          <w:rFonts w:ascii="Times New Roman" w:hAnsi="Times New Roman"/>
          <w:b/>
          <w:sz w:val="28"/>
          <w:szCs w:val="28"/>
        </w:rPr>
        <w:t xml:space="preserve">2.3.1.3. Оценка </w:t>
      </w:r>
      <w:r w:rsidRPr="00A11646">
        <w:rPr>
          <w:rFonts w:ascii="Times New Roman" w:hAnsi="Times New Roman"/>
          <w:b/>
          <w:sz w:val="28"/>
          <w:szCs w:val="28"/>
          <w:lang w:val="uz-Cyrl-UZ"/>
        </w:rPr>
        <w:t>эффективности лечения ММ</w:t>
      </w:r>
    </w:p>
    <w:bookmarkEnd w:id="57"/>
    <w:p w:rsidR="00C328C9" w:rsidRPr="00A11646" w:rsidRDefault="00C328C9" w:rsidP="00C328C9">
      <w:pPr>
        <w:pStyle w:val="a3"/>
        <w:spacing w:line="360" w:lineRule="auto"/>
        <w:ind w:firstLine="708"/>
        <w:jc w:val="both"/>
        <w:rPr>
          <w:color w:val="auto"/>
        </w:rPr>
      </w:pPr>
      <w:r w:rsidRPr="00A11646">
        <w:rPr>
          <w:color w:val="auto"/>
        </w:rPr>
        <w:t xml:space="preserve">Эффективность лечения ММ оценивали по международным критериям [70, с. 1467-1473] на основе оценки лабораторных показателей через 30 дней после проведения аутоТГСК (показатели общего анализа крови, костного мозга, биохимического анализа крови, иммунохимическое исследование моноклональных иммуноглобулинов) и далее 1 раз каждые три месяца. </w:t>
      </w:r>
    </w:p>
    <w:p w:rsidR="00C328C9" w:rsidRPr="00A11646" w:rsidRDefault="00C328C9" w:rsidP="00C328C9">
      <w:pPr>
        <w:pStyle w:val="a3"/>
        <w:spacing w:line="360" w:lineRule="auto"/>
        <w:ind w:firstLine="708"/>
        <w:jc w:val="right"/>
        <w:rPr>
          <w:b/>
          <w:color w:val="auto"/>
        </w:rPr>
      </w:pPr>
      <w:r w:rsidRPr="00A11646">
        <w:rPr>
          <w:b/>
          <w:color w:val="auto"/>
        </w:rPr>
        <w:t>Схема 2.3.1.</w:t>
      </w:r>
    </w:p>
    <w:p w:rsidR="00C328C9" w:rsidRPr="00A11646" w:rsidRDefault="00C328C9" w:rsidP="00C328C9">
      <w:pPr>
        <w:pStyle w:val="a3"/>
        <w:spacing w:line="360" w:lineRule="auto"/>
        <w:ind w:firstLine="708"/>
        <w:jc w:val="center"/>
        <w:rPr>
          <w:noProof/>
          <w:color w:val="auto"/>
        </w:rPr>
      </w:pPr>
      <w:r w:rsidRPr="00A11646">
        <w:rPr>
          <w:b/>
          <w:color w:val="auto"/>
        </w:rPr>
        <w:t>Этапыпроведения аутотрансплантации гемопоэтических стволовых клеток</w:t>
      </w:r>
      <w:r w:rsidR="008E3151">
        <w:rPr>
          <w:b/>
          <w:color w:val="auto"/>
          <w:lang w:val="uz-Cyrl-UZ"/>
        </w:rPr>
        <w:t xml:space="preserve"> </w:t>
      </w:r>
      <w:r w:rsidRPr="00A11646">
        <w:rPr>
          <w:b/>
          <w:color w:val="auto"/>
        </w:rPr>
        <w:t>(аутоТГСК)</w:t>
      </w:r>
    </w:p>
    <w:p w:rsidR="00C328C9" w:rsidRPr="00A11646" w:rsidRDefault="00C328C9" w:rsidP="00C328C9">
      <w:pPr>
        <w:pStyle w:val="a3"/>
        <w:spacing w:line="360" w:lineRule="auto"/>
        <w:ind w:firstLine="708"/>
        <w:jc w:val="center"/>
        <w:rPr>
          <w:b/>
          <w:color w:val="auto"/>
        </w:rPr>
      </w:pPr>
      <w:r w:rsidRPr="00A11646">
        <w:rPr>
          <w:b/>
          <w:color w:val="auto"/>
        </w:rPr>
        <w:t>А.</w:t>
      </w:r>
      <w:r w:rsidRPr="00A11646">
        <w:rPr>
          <w:noProof/>
          <w:color w:val="auto"/>
          <w:lang w:eastAsia="ru-RU"/>
        </w:rPr>
        <w:drawing>
          <wp:inline distT="0" distB="0" distL="0" distR="0">
            <wp:extent cx="5486400" cy="2743200"/>
            <wp:effectExtent l="57150" t="0" r="0" b="1905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328C9" w:rsidRPr="00A11646" w:rsidRDefault="00C328C9" w:rsidP="00C328C9">
      <w:pPr>
        <w:pStyle w:val="a3"/>
        <w:spacing w:line="360" w:lineRule="auto"/>
        <w:ind w:firstLine="708"/>
        <w:jc w:val="center"/>
        <w:rPr>
          <w:b/>
          <w:color w:val="auto"/>
        </w:rPr>
      </w:pPr>
    </w:p>
    <w:p w:rsidR="00C328C9" w:rsidRPr="00A11646" w:rsidRDefault="00C328C9" w:rsidP="00C328C9">
      <w:pPr>
        <w:pStyle w:val="a3"/>
        <w:spacing w:line="360" w:lineRule="auto"/>
        <w:ind w:firstLine="708"/>
        <w:jc w:val="center"/>
        <w:rPr>
          <w:b/>
          <w:color w:val="auto"/>
        </w:rPr>
      </w:pPr>
    </w:p>
    <w:p w:rsidR="00C328C9" w:rsidRPr="00A11646" w:rsidRDefault="00C328C9" w:rsidP="00C328C9">
      <w:pPr>
        <w:pStyle w:val="a3"/>
        <w:spacing w:line="360" w:lineRule="auto"/>
        <w:ind w:firstLine="708"/>
        <w:jc w:val="center"/>
        <w:rPr>
          <w:b/>
          <w:color w:val="auto"/>
        </w:rPr>
      </w:pPr>
    </w:p>
    <w:p w:rsidR="00C328C9" w:rsidRPr="00A11646" w:rsidRDefault="00C328C9" w:rsidP="00C328C9">
      <w:pPr>
        <w:pStyle w:val="a3"/>
        <w:spacing w:line="360" w:lineRule="auto"/>
        <w:ind w:firstLine="708"/>
        <w:jc w:val="center"/>
        <w:rPr>
          <w:b/>
          <w:color w:val="auto"/>
        </w:rPr>
      </w:pPr>
      <w:r w:rsidRPr="00A11646">
        <w:rPr>
          <w:b/>
          <w:color w:val="auto"/>
        </w:rPr>
        <w:t>Б.</w:t>
      </w:r>
    </w:p>
    <w:p w:rsidR="00C328C9" w:rsidRPr="00A11646" w:rsidRDefault="00C328C9" w:rsidP="00C328C9">
      <w:pPr>
        <w:pStyle w:val="a3"/>
        <w:spacing w:line="360" w:lineRule="auto"/>
        <w:ind w:firstLine="708"/>
        <w:jc w:val="center"/>
        <w:rPr>
          <w:color w:val="auto"/>
          <w:lang w:val="uz-Cyrl-UZ"/>
        </w:rPr>
      </w:pPr>
      <w:r w:rsidRPr="00A11646">
        <w:rPr>
          <w:noProof/>
          <w:color w:val="auto"/>
          <w:lang w:eastAsia="ru-RU"/>
        </w:rPr>
        <w:drawing>
          <wp:inline distT="0" distB="0" distL="0" distR="0">
            <wp:extent cx="5486400" cy="2781300"/>
            <wp:effectExtent l="76200" t="0" r="57150" b="1905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328C9" w:rsidRPr="00A11646" w:rsidRDefault="00C328C9" w:rsidP="00C328C9">
      <w:pPr>
        <w:spacing w:line="360" w:lineRule="auto"/>
        <w:ind w:left="708"/>
        <w:rPr>
          <w:rFonts w:ascii="Times New Roman" w:hAnsi="Times New Roman"/>
          <w:b/>
          <w:sz w:val="28"/>
          <w:szCs w:val="28"/>
          <w:lang w:val="en-US"/>
        </w:rPr>
      </w:pPr>
    </w:p>
    <w:p w:rsidR="00C328C9" w:rsidRPr="00A11646" w:rsidRDefault="00C328C9" w:rsidP="00C328C9">
      <w:pPr>
        <w:pStyle w:val="a5"/>
        <w:spacing w:line="360" w:lineRule="auto"/>
        <w:ind w:left="1855"/>
        <w:rPr>
          <w:rFonts w:ascii="Times New Roman" w:hAnsi="Times New Roman" w:cs="Times New Roman"/>
          <w:b/>
          <w:sz w:val="28"/>
          <w:szCs w:val="28"/>
        </w:rPr>
      </w:pPr>
      <w:bookmarkStart w:id="58" w:name="_Hlk8234386"/>
      <w:r w:rsidRPr="00A11646">
        <w:rPr>
          <w:rFonts w:ascii="Times New Roman" w:hAnsi="Times New Roman" w:cs="Times New Roman"/>
          <w:b/>
          <w:sz w:val="28"/>
          <w:szCs w:val="28"/>
        </w:rPr>
        <w:t>§ 2.4. Статистические методы исследования</w:t>
      </w:r>
    </w:p>
    <w:p w:rsidR="00C328C9" w:rsidRPr="00A11646" w:rsidRDefault="00C328C9" w:rsidP="00C328C9">
      <w:pPr>
        <w:spacing w:line="360" w:lineRule="auto"/>
        <w:ind w:firstLine="708"/>
        <w:jc w:val="both"/>
        <w:rPr>
          <w:rFonts w:ascii="Times New Roman" w:hAnsi="Times New Roman"/>
          <w:sz w:val="28"/>
          <w:szCs w:val="28"/>
        </w:rPr>
      </w:pPr>
      <w:bookmarkStart w:id="59" w:name="_Hlk20248203"/>
      <w:bookmarkEnd w:id="58"/>
      <w:r w:rsidRPr="00A11646">
        <w:rPr>
          <w:rFonts w:ascii="Times New Roman" w:hAnsi="Times New Roman"/>
          <w:sz w:val="28"/>
          <w:szCs w:val="28"/>
        </w:rPr>
        <w:t>Статистический анализ данных проводился методом вариационной статистики с помощью пакетов прикладных программ Excell</w:t>
      </w:r>
      <w:r w:rsidRPr="00A11646">
        <w:rPr>
          <w:rFonts w:ascii="Times New Roman" w:hAnsi="Times New Roman"/>
          <w:sz w:val="28"/>
          <w:szCs w:val="28"/>
          <w:lang w:val="uz-Cyrl-UZ"/>
        </w:rPr>
        <w:t>(</w:t>
      </w:r>
      <w:r w:rsidRPr="00A11646">
        <w:rPr>
          <w:rFonts w:ascii="Times New Roman" w:hAnsi="Times New Roman"/>
          <w:sz w:val="28"/>
          <w:szCs w:val="28"/>
        </w:rPr>
        <w:t>Statistica 5.0 forWindows</w:t>
      </w:r>
      <w:r w:rsidRPr="00A11646">
        <w:rPr>
          <w:rFonts w:ascii="Times New Roman" w:hAnsi="Times New Roman"/>
          <w:sz w:val="28"/>
          <w:szCs w:val="28"/>
          <w:lang w:val="uz-Cyrl-UZ"/>
        </w:rPr>
        <w:t>)</w:t>
      </w:r>
      <w:r w:rsidRPr="00A11646">
        <w:rPr>
          <w:rFonts w:ascii="Times New Roman" w:hAnsi="Times New Roman"/>
          <w:sz w:val="28"/>
          <w:szCs w:val="28"/>
        </w:rPr>
        <w:t xml:space="preserve">. При статическом анализе каждого признака были вычислены основные характеристики: среднее, среднее квадратическое отклонение, средняя статистическая достоверность. Для оценки между группами </w:t>
      </w:r>
      <w:r w:rsidRPr="00A11646">
        <w:rPr>
          <w:rFonts w:ascii="Times New Roman" w:hAnsi="Times New Roman"/>
          <w:sz w:val="28"/>
          <w:szCs w:val="28"/>
          <w:lang w:val="uz-Cyrl-UZ"/>
        </w:rPr>
        <w:t>достоверности</w:t>
      </w:r>
      <w:r w:rsidRPr="00A11646">
        <w:rPr>
          <w:rFonts w:ascii="Times New Roman" w:hAnsi="Times New Roman"/>
          <w:sz w:val="28"/>
          <w:szCs w:val="28"/>
        </w:rPr>
        <w:t xml:space="preserve"> результатов использовался </w:t>
      </w:r>
      <w:r w:rsidRPr="00A11646">
        <w:rPr>
          <w:rFonts w:ascii="Times New Roman" w:hAnsi="Times New Roman"/>
          <w:sz w:val="28"/>
          <w:szCs w:val="28"/>
          <w:lang w:val="uz-Cyrl-UZ"/>
        </w:rPr>
        <w:t>метод Фишера, с применением критериев Стьюдента</w:t>
      </w:r>
      <w:r w:rsidRPr="00A11646">
        <w:rPr>
          <w:rFonts w:ascii="Times New Roman" w:hAnsi="Times New Roman"/>
          <w:sz w:val="28"/>
          <w:szCs w:val="28"/>
        </w:rPr>
        <w:t>. Данные обрабатывались в программе Statistica 5.0 forWindows. Достоверными считались результаты при р&lt;0,05.</w:t>
      </w:r>
    </w:p>
    <w:bookmarkEnd w:id="59"/>
    <w:p w:rsidR="00C328C9" w:rsidRPr="00A11646" w:rsidRDefault="00C328C9" w:rsidP="00C328C9">
      <w:pPr>
        <w:pStyle w:val="a3"/>
        <w:spacing w:line="360" w:lineRule="auto"/>
        <w:ind w:firstLine="708"/>
        <w:jc w:val="center"/>
        <w:rPr>
          <w:color w:val="auto"/>
        </w:rPr>
      </w:pPr>
    </w:p>
    <w:p w:rsidR="00D754DD" w:rsidRPr="00A11646" w:rsidRDefault="00D754DD" w:rsidP="00D754DD">
      <w:pPr>
        <w:pStyle w:val="a3"/>
        <w:spacing w:line="360" w:lineRule="auto"/>
        <w:ind w:firstLine="709"/>
        <w:jc w:val="both"/>
        <w:rPr>
          <w:color w:val="auto"/>
        </w:rPr>
      </w:pPr>
    </w:p>
    <w:p w:rsidR="00C328C9" w:rsidRPr="00A11646" w:rsidRDefault="00C328C9" w:rsidP="00D754DD">
      <w:pPr>
        <w:pStyle w:val="a3"/>
        <w:spacing w:line="360" w:lineRule="auto"/>
        <w:ind w:firstLine="709"/>
        <w:jc w:val="both"/>
        <w:rPr>
          <w:color w:val="auto"/>
        </w:rPr>
      </w:pPr>
    </w:p>
    <w:p w:rsidR="00C328C9" w:rsidRPr="00A11646" w:rsidRDefault="00C328C9" w:rsidP="00D754DD">
      <w:pPr>
        <w:pStyle w:val="a3"/>
        <w:spacing w:line="360" w:lineRule="auto"/>
        <w:ind w:firstLine="709"/>
        <w:jc w:val="both"/>
        <w:rPr>
          <w:color w:val="auto"/>
        </w:rPr>
      </w:pPr>
    </w:p>
    <w:p w:rsidR="00C328C9" w:rsidRPr="00A11646" w:rsidRDefault="00C328C9" w:rsidP="00D754DD">
      <w:pPr>
        <w:pStyle w:val="a3"/>
        <w:spacing w:line="360" w:lineRule="auto"/>
        <w:ind w:firstLine="709"/>
        <w:jc w:val="both"/>
        <w:rPr>
          <w:color w:val="auto"/>
        </w:rPr>
      </w:pPr>
    </w:p>
    <w:p w:rsidR="00C328C9" w:rsidRPr="00A11646" w:rsidRDefault="00C328C9" w:rsidP="00D754DD">
      <w:pPr>
        <w:pStyle w:val="a3"/>
        <w:spacing w:line="360" w:lineRule="auto"/>
        <w:ind w:firstLine="709"/>
        <w:jc w:val="both"/>
        <w:rPr>
          <w:color w:val="auto"/>
        </w:rPr>
      </w:pPr>
    </w:p>
    <w:p w:rsidR="00C328C9" w:rsidRPr="00A11646" w:rsidRDefault="00C328C9" w:rsidP="00D754DD">
      <w:pPr>
        <w:pStyle w:val="a3"/>
        <w:spacing w:line="360" w:lineRule="auto"/>
        <w:ind w:firstLine="709"/>
        <w:jc w:val="both"/>
        <w:rPr>
          <w:color w:val="auto"/>
        </w:rPr>
      </w:pPr>
    </w:p>
    <w:p w:rsidR="00C328C9" w:rsidRPr="00A11646" w:rsidRDefault="00C328C9" w:rsidP="00C328C9">
      <w:pPr>
        <w:autoSpaceDE w:val="0"/>
        <w:autoSpaceDN w:val="0"/>
        <w:adjustRightInd w:val="0"/>
        <w:spacing w:after="0" w:line="360" w:lineRule="auto"/>
        <w:jc w:val="center"/>
        <w:rPr>
          <w:rFonts w:ascii="Times New Roman" w:eastAsia="Calibri" w:hAnsi="Times New Roman"/>
          <w:b/>
          <w:sz w:val="28"/>
          <w:szCs w:val="28"/>
        </w:rPr>
      </w:pPr>
      <w:r w:rsidRPr="00A11646">
        <w:rPr>
          <w:rFonts w:ascii="Times New Roman" w:eastAsia="Calibri" w:hAnsi="Times New Roman"/>
          <w:b/>
          <w:sz w:val="28"/>
          <w:szCs w:val="28"/>
        </w:rPr>
        <w:t xml:space="preserve">Глава </w:t>
      </w:r>
      <w:r w:rsidRPr="00A11646">
        <w:rPr>
          <w:rFonts w:ascii="Times New Roman" w:eastAsia="Calibri" w:hAnsi="Times New Roman"/>
          <w:b/>
          <w:sz w:val="28"/>
          <w:szCs w:val="28"/>
          <w:lang w:val="en-US"/>
        </w:rPr>
        <w:t>III</w:t>
      </w:r>
      <w:r w:rsidRPr="00A11646">
        <w:rPr>
          <w:rFonts w:ascii="Times New Roman" w:eastAsia="Calibri" w:hAnsi="Times New Roman"/>
          <w:b/>
          <w:sz w:val="28"/>
          <w:szCs w:val="28"/>
        </w:rPr>
        <w:t>.</w:t>
      </w:r>
    </w:p>
    <w:p w:rsidR="00C328C9" w:rsidRPr="00A11646" w:rsidRDefault="00C328C9" w:rsidP="00C328C9">
      <w:pPr>
        <w:autoSpaceDE w:val="0"/>
        <w:autoSpaceDN w:val="0"/>
        <w:adjustRightInd w:val="0"/>
        <w:spacing w:after="0" w:line="360" w:lineRule="auto"/>
        <w:jc w:val="center"/>
        <w:rPr>
          <w:rFonts w:ascii="Times New Roman" w:eastAsia="Calibri" w:hAnsi="Times New Roman"/>
          <w:b/>
          <w:sz w:val="28"/>
          <w:szCs w:val="28"/>
        </w:rPr>
      </w:pPr>
      <w:bookmarkStart w:id="60" w:name="_Hlk21108386"/>
      <w:r w:rsidRPr="00A11646">
        <w:rPr>
          <w:rFonts w:ascii="Times New Roman" w:eastAsia="Calibri" w:hAnsi="Times New Roman"/>
          <w:b/>
          <w:sz w:val="28"/>
          <w:szCs w:val="28"/>
        </w:rPr>
        <w:t>КЛИНИКО-ЛАБОРАТОРНЫЕ ОСОБЕННОСТИ МНОЖЕСТВЕННОЙ МИЕЛОМЫ В УЗБЕКИСТАНЕ</w:t>
      </w:r>
    </w:p>
    <w:p w:rsidR="00CA4766" w:rsidRDefault="00CA4766" w:rsidP="00C328C9">
      <w:pPr>
        <w:autoSpaceDE w:val="0"/>
        <w:autoSpaceDN w:val="0"/>
        <w:adjustRightInd w:val="0"/>
        <w:spacing w:after="0" w:line="360" w:lineRule="auto"/>
        <w:jc w:val="center"/>
        <w:rPr>
          <w:rFonts w:ascii="Times New Roman" w:eastAsia="Calibri" w:hAnsi="Times New Roman"/>
          <w:b/>
          <w:sz w:val="28"/>
          <w:szCs w:val="28"/>
          <w:lang w:val="uz-Cyrl-UZ"/>
        </w:rPr>
      </w:pPr>
      <w:bookmarkStart w:id="61" w:name="_Hlk3405150"/>
    </w:p>
    <w:p w:rsidR="00C328C9" w:rsidRPr="00A11646" w:rsidRDefault="00C328C9" w:rsidP="00C328C9">
      <w:pPr>
        <w:autoSpaceDE w:val="0"/>
        <w:autoSpaceDN w:val="0"/>
        <w:adjustRightInd w:val="0"/>
        <w:spacing w:after="0" w:line="360" w:lineRule="auto"/>
        <w:jc w:val="center"/>
        <w:rPr>
          <w:rFonts w:ascii="Times New Roman" w:eastAsia="Calibri" w:hAnsi="Times New Roman"/>
          <w:b/>
          <w:sz w:val="28"/>
          <w:szCs w:val="28"/>
        </w:rPr>
      </w:pPr>
      <w:r w:rsidRPr="00A11646">
        <w:rPr>
          <w:rFonts w:ascii="Times New Roman" w:eastAsia="Calibri" w:hAnsi="Times New Roman"/>
          <w:b/>
          <w:sz w:val="28"/>
          <w:szCs w:val="28"/>
        </w:rPr>
        <w:t xml:space="preserve">§ 3.1. Клинические особенности </w:t>
      </w:r>
      <w:r w:rsidRPr="00A11646">
        <w:rPr>
          <w:rFonts w:ascii="Times New Roman" w:eastAsia="Calibri" w:hAnsi="Times New Roman"/>
          <w:b/>
          <w:sz w:val="28"/>
          <w:szCs w:val="28"/>
          <w:lang w:val="uz-Cyrl-UZ"/>
        </w:rPr>
        <w:t xml:space="preserve">течения </w:t>
      </w:r>
      <w:bookmarkEnd w:id="61"/>
      <w:r w:rsidRPr="00A11646">
        <w:rPr>
          <w:rFonts w:ascii="Times New Roman" w:eastAsia="Calibri" w:hAnsi="Times New Roman"/>
          <w:b/>
          <w:sz w:val="28"/>
          <w:szCs w:val="28"/>
          <w:lang w:val="uz-Cyrl-UZ"/>
        </w:rPr>
        <w:t>множественной миелом</w:t>
      </w:r>
      <w:r w:rsidRPr="00A11646">
        <w:rPr>
          <w:rFonts w:ascii="Times New Roman" w:eastAsia="Calibri" w:hAnsi="Times New Roman"/>
          <w:b/>
          <w:sz w:val="28"/>
          <w:szCs w:val="28"/>
        </w:rPr>
        <w:t>ы в Узбекистане</w:t>
      </w:r>
    </w:p>
    <w:p w:rsidR="00C328C9" w:rsidRPr="00A11646" w:rsidRDefault="00C328C9" w:rsidP="00C328C9">
      <w:pPr>
        <w:pStyle w:val="a3"/>
        <w:spacing w:line="360" w:lineRule="auto"/>
        <w:ind w:firstLine="709"/>
        <w:jc w:val="both"/>
        <w:rPr>
          <w:color w:val="auto"/>
        </w:rPr>
      </w:pPr>
      <w:bookmarkStart w:id="62" w:name="_Hlk5362286"/>
      <w:r w:rsidRPr="00A11646">
        <w:rPr>
          <w:color w:val="auto"/>
        </w:rPr>
        <w:t xml:space="preserve">Одним из этапов нашего исследования явилось изучение клинических особенностей течения ММ в Узбекистане. Для реализации этого этапа проведено клиническое обследование 124 больных ММ за период 2013-2018 г.г. </w:t>
      </w:r>
      <w:bookmarkStart w:id="63" w:name="_Hlk7084024"/>
      <w:r w:rsidRPr="00A11646">
        <w:rPr>
          <w:color w:val="auto"/>
        </w:rPr>
        <w:t>Среди обследованных наибольший процент составили больные ММ женского пола (53,2%), при этом соотношение мужчин и женщин имело значение 1:1,14, тогда как поданным литературы заболевание чаще регистрируется среди мужчин [31, с. 25-35]. Данное расхождение соотношения в нашем исследовании возможно связано с методом случайной выборкой больных ММ.</w:t>
      </w:r>
    </w:p>
    <w:p w:rsidR="00C328C9" w:rsidRPr="00A11646" w:rsidRDefault="00C328C9" w:rsidP="00C328C9">
      <w:pPr>
        <w:pStyle w:val="a3"/>
        <w:spacing w:line="360" w:lineRule="auto"/>
        <w:ind w:firstLine="709"/>
        <w:jc w:val="both"/>
        <w:rPr>
          <w:color w:val="auto"/>
        </w:rPr>
      </w:pPr>
      <w:r w:rsidRPr="00A11646">
        <w:rPr>
          <w:color w:val="auto"/>
        </w:rPr>
        <w:t xml:space="preserve">Вариация возраста больных составила от 28 до 80 лет (медиана </w:t>
      </w:r>
      <w:bookmarkStart w:id="64" w:name="_Hlk5988878"/>
      <w:r w:rsidRPr="00A11646">
        <w:rPr>
          <w:color w:val="auto"/>
        </w:rPr>
        <w:t>55,3 ± 2,3 лет</w:t>
      </w:r>
      <w:bookmarkEnd w:id="64"/>
      <w:r w:rsidRPr="00A11646">
        <w:rPr>
          <w:color w:val="auto"/>
        </w:rPr>
        <w:t xml:space="preserve">). В соответствие с половым различием средний возраст мужчин составил 52,7± 3,5 лет, у женщин – 54,9 ± 3,03 лет </w:t>
      </w:r>
      <w:bookmarkEnd w:id="63"/>
      <w:r w:rsidRPr="00A11646">
        <w:rPr>
          <w:color w:val="auto"/>
        </w:rPr>
        <w:t>(табл. 3.1.1.).</w:t>
      </w:r>
    </w:p>
    <w:p w:rsidR="00C328C9" w:rsidRPr="00A11646" w:rsidRDefault="00C328C9" w:rsidP="00C328C9">
      <w:pPr>
        <w:spacing w:line="360" w:lineRule="auto"/>
        <w:ind w:firstLine="708"/>
        <w:jc w:val="right"/>
        <w:rPr>
          <w:rFonts w:ascii="Times New Roman" w:eastAsia="Calibri" w:hAnsi="Times New Roman"/>
          <w:b/>
          <w:sz w:val="28"/>
          <w:szCs w:val="28"/>
        </w:rPr>
      </w:pPr>
      <w:bookmarkStart w:id="65" w:name="_Hlk6245860"/>
      <w:r w:rsidRPr="00A11646">
        <w:rPr>
          <w:rFonts w:ascii="Times New Roman" w:eastAsia="Calibri" w:hAnsi="Times New Roman"/>
          <w:b/>
          <w:sz w:val="28"/>
          <w:szCs w:val="28"/>
        </w:rPr>
        <w:t>Таблица 3.1.1.</w:t>
      </w:r>
    </w:p>
    <w:p w:rsidR="00C328C9" w:rsidRPr="00A11646" w:rsidRDefault="00C328C9" w:rsidP="00C328C9">
      <w:pPr>
        <w:spacing w:line="360" w:lineRule="auto"/>
        <w:ind w:firstLine="708"/>
        <w:jc w:val="center"/>
        <w:rPr>
          <w:rFonts w:ascii="Times New Roman" w:eastAsia="Calibri" w:hAnsi="Times New Roman"/>
          <w:b/>
          <w:sz w:val="28"/>
          <w:szCs w:val="28"/>
        </w:rPr>
      </w:pPr>
      <w:r w:rsidRPr="00A11646">
        <w:rPr>
          <w:rFonts w:ascii="Times New Roman" w:eastAsia="Calibri" w:hAnsi="Times New Roman"/>
          <w:b/>
          <w:sz w:val="28"/>
          <w:szCs w:val="28"/>
        </w:rPr>
        <w:t>Распределение больных ММ по полу и среднему возрасту (</w:t>
      </w:r>
      <w:r w:rsidRPr="00A11646">
        <w:rPr>
          <w:rFonts w:ascii="Times New Roman" w:eastAsia="Calibri" w:hAnsi="Times New Roman"/>
          <w:b/>
          <w:sz w:val="28"/>
          <w:szCs w:val="28"/>
          <w:lang w:val="en-US"/>
        </w:rPr>
        <w:t>M</w:t>
      </w:r>
      <w:r w:rsidRPr="00A11646">
        <w:rPr>
          <w:rFonts w:ascii="Times New Roman" w:eastAsia="Calibri" w:hAnsi="Times New Roman"/>
          <w:b/>
          <w:sz w:val="28"/>
          <w:szCs w:val="28"/>
        </w:rPr>
        <w:t>±</w:t>
      </w:r>
      <w:r w:rsidRPr="00A11646">
        <w:rPr>
          <w:rFonts w:ascii="Times New Roman" w:eastAsia="Calibri" w:hAnsi="Times New Roman"/>
          <w:b/>
          <w:sz w:val="28"/>
          <w:szCs w:val="28"/>
          <w:lang w:val="en-US"/>
        </w:rPr>
        <w:t>m</w:t>
      </w:r>
      <w:r w:rsidRPr="00A11646">
        <w:rPr>
          <w:rFonts w:ascii="Times New Roman" w:eastAsia="Calibri" w:hAnsi="Times New Roman"/>
          <w:b/>
          <w:sz w:val="28"/>
          <w:szCs w:val="28"/>
        </w:rPr>
        <w:t>)</w:t>
      </w:r>
    </w:p>
    <w:tbl>
      <w:tblPr>
        <w:tblW w:w="0" w:type="auto"/>
        <w:tblLook w:val="04A0"/>
      </w:tblPr>
      <w:tblGrid>
        <w:gridCol w:w="529"/>
        <w:gridCol w:w="2595"/>
        <w:gridCol w:w="2368"/>
        <w:gridCol w:w="2111"/>
        <w:gridCol w:w="1684"/>
      </w:tblGrid>
      <w:tr w:rsidR="00A11646" w:rsidRPr="00A11646" w:rsidTr="00E41F46">
        <w:trPr>
          <w:trHeight w:val="276"/>
        </w:trPr>
        <w:tc>
          <w:tcPr>
            <w:tcW w:w="530" w:type="dxa"/>
            <w:vMerge w:val="restart"/>
            <w:tcBorders>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rPr>
            </w:pPr>
            <w:bookmarkStart w:id="66" w:name="_Hlk6245795"/>
            <w:bookmarkEnd w:id="65"/>
            <w:r w:rsidRPr="00A11646">
              <w:rPr>
                <w:rFonts w:ascii="Times New Roman" w:eastAsia="Calibri" w:hAnsi="Times New Roman"/>
                <w:b/>
                <w:sz w:val="28"/>
                <w:szCs w:val="28"/>
              </w:rPr>
              <w:t>№</w:t>
            </w:r>
          </w:p>
        </w:tc>
        <w:tc>
          <w:tcPr>
            <w:tcW w:w="2608" w:type="dxa"/>
            <w:vMerge w:val="restart"/>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rPr>
            </w:pPr>
            <w:r w:rsidRPr="00A11646">
              <w:rPr>
                <w:rFonts w:ascii="Times New Roman" w:eastAsia="Calibri" w:hAnsi="Times New Roman"/>
                <w:b/>
                <w:sz w:val="28"/>
                <w:szCs w:val="28"/>
              </w:rPr>
              <w:t>Пол больных ММ</w:t>
            </w:r>
          </w:p>
        </w:tc>
        <w:tc>
          <w:tcPr>
            <w:tcW w:w="6207" w:type="dxa"/>
            <w:gridSpan w:val="3"/>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rPr>
            </w:pPr>
            <w:r w:rsidRPr="00A11646">
              <w:rPr>
                <w:rFonts w:ascii="Times New Roman" w:eastAsia="Calibri" w:hAnsi="Times New Roman"/>
                <w:b/>
                <w:sz w:val="28"/>
                <w:szCs w:val="28"/>
              </w:rPr>
              <w:t>Медиана возраста больных ММ, лет</w:t>
            </w:r>
          </w:p>
        </w:tc>
      </w:tr>
      <w:tr w:rsidR="00A11646" w:rsidRPr="00A11646" w:rsidTr="00E41F46">
        <w:trPr>
          <w:trHeight w:val="195"/>
        </w:trPr>
        <w:tc>
          <w:tcPr>
            <w:tcW w:w="530" w:type="dxa"/>
            <w:vMerge/>
            <w:tcBorders>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rPr>
            </w:pPr>
          </w:p>
        </w:tc>
        <w:tc>
          <w:tcPr>
            <w:tcW w:w="2608" w:type="dxa"/>
            <w:vMerge/>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rPr>
            </w:pPr>
          </w:p>
        </w:tc>
        <w:tc>
          <w:tcPr>
            <w:tcW w:w="238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lang w:val="en-US"/>
              </w:rPr>
            </w:pPr>
            <w:r w:rsidRPr="00A11646">
              <w:rPr>
                <w:rFonts w:ascii="Times New Roman" w:eastAsia="Calibri" w:hAnsi="Times New Roman"/>
                <w:b/>
                <w:sz w:val="28"/>
                <w:szCs w:val="28"/>
                <w:lang w:val="en-US"/>
              </w:rPr>
              <w:t>M</w:t>
            </w:r>
          </w:p>
        </w:tc>
        <w:tc>
          <w:tcPr>
            <w:tcW w:w="212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lang w:val="en-US"/>
              </w:rPr>
            </w:pPr>
            <w:r w:rsidRPr="00A11646">
              <w:rPr>
                <w:rFonts w:ascii="Times New Roman" w:eastAsia="Calibri" w:hAnsi="Times New Roman"/>
                <w:b/>
                <w:sz w:val="28"/>
                <w:szCs w:val="28"/>
                <w:lang w:val="en-US"/>
              </w:rPr>
              <w:t>m</w:t>
            </w:r>
          </w:p>
        </w:tc>
        <w:tc>
          <w:tcPr>
            <w:tcW w:w="1695"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b/>
                <w:sz w:val="28"/>
                <w:szCs w:val="28"/>
              </w:rPr>
            </w:pPr>
            <w:r w:rsidRPr="00A11646">
              <w:rPr>
                <w:rFonts w:ascii="Times New Roman" w:eastAsia="Calibri" w:hAnsi="Times New Roman"/>
                <w:b/>
                <w:sz w:val="28"/>
                <w:szCs w:val="28"/>
              </w:rPr>
              <w:t>ϭ</w:t>
            </w:r>
          </w:p>
        </w:tc>
      </w:tr>
      <w:tr w:rsidR="00A11646" w:rsidRPr="00A11646" w:rsidTr="00E41F46">
        <w:tc>
          <w:tcPr>
            <w:tcW w:w="530" w:type="dxa"/>
            <w:tcBorders>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r w:rsidRPr="00A11646">
              <w:rPr>
                <w:rFonts w:ascii="Times New Roman" w:eastAsia="Calibri" w:hAnsi="Times New Roman"/>
                <w:sz w:val="28"/>
                <w:szCs w:val="28"/>
              </w:rPr>
              <w:t>1</w:t>
            </w:r>
          </w:p>
        </w:tc>
        <w:tc>
          <w:tcPr>
            <w:tcW w:w="2608"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r w:rsidRPr="00A11646">
              <w:rPr>
                <w:rFonts w:ascii="Times New Roman" w:eastAsia="Calibri" w:hAnsi="Times New Roman"/>
                <w:sz w:val="28"/>
                <w:szCs w:val="28"/>
              </w:rPr>
              <w:t>мужчины</w:t>
            </w:r>
          </w:p>
        </w:tc>
        <w:tc>
          <w:tcPr>
            <w:tcW w:w="238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lang w:val="en-US"/>
              </w:rPr>
            </w:pPr>
            <w:r w:rsidRPr="00A11646">
              <w:rPr>
                <w:rFonts w:ascii="Times New Roman" w:eastAsia="Calibri" w:hAnsi="Times New Roman"/>
                <w:sz w:val="28"/>
                <w:szCs w:val="28"/>
                <w:lang w:val="en-US"/>
              </w:rPr>
              <w:t>52,7</w:t>
            </w:r>
          </w:p>
        </w:tc>
        <w:tc>
          <w:tcPr>
            <w:tcW w:w="212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lang w:val="en-US"/>
              </w:rPr>
            </w:pPr>
            <w:r w:rsidRPr="00A11646">
              <w:rPr>
                <w:rFonts w:ascii="Times New Roman" w:eastAsia="Calibri" w:hAnsi="Times New Roman"/>
                <w:sz w:val="28"/>
                <w:szCs w:val="28"/>
                <w:lang w:val="en-US"/>
              </w:rPr>
              <w:t>3,5</w:t>
            </w:r>
          </w:p>
        </w:tc>
        <w:tc>
          <w:tcPr>
            <w:tcW w:w="1695"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lang w:val="en-US"/>
              </w:rPr>
            </w:pPr>
            <w:r w:rsidRPr="00A11646">
              <w:rPr>
                <w:rFonts w:ascii="Times New Roman" w:eastAsia="Calibri" w:hAnsi="Times New Roman"/>
                <w:sz w:val="28"/>
                <w:szCs w:val="28"/>
                <w:lang w:val="en-US"/>
              </w:rPr>
              <w:t>15.7</w:t>
            </w:r>
          </w:p>
        </w:tc>
      </w:tr>
      <w:tr w:rsidR="00A11646" w:rsidRPr="00A11646" w:rsidTr="008E3151">
        <w:trPr>
          <w:trHeight w:val="693"/>
        </w:trPr>
        <w:tc>
          <w:tcPr>
            <w:tcW w:w="530" w:type="dxa"/>
            <w:tcBorders>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r w:rsidRPr="00A11646">
              <w:rPr>
                <w:rFonts w:ascii="Times New Roman" w:eastAsia="Calibri" w:hAnsi="Times New Roman"/>
                <w:sz w:val="28"/>
                <w:szCs w:val="28"/>
              </w:rPr>
              <w:t>2</w:t>
            </w:r>
          </w:p>
        </w:tc>
        <w:tc>
          <w:tcPr>
            <w:tcW w:w="2608"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r w:rsidRPr="00A11646">
              <w:rPr>
                <w:rFonts w:ascii="Times New Roman" w:eastAsia="Calibri" w:hAnsi="Times New Roman"/>
                <w:sz w:val="28"/>
                <w:szCs w:val="28"/>
              </w:rPr>
              <w:t>женщины</w:t>
            </w:r>
          </w:p>
        </w:tc>
        <w:tc>
          <w:tcPr>
            <w:tcW w:w="238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lang w:val="en-US"/>
              </w:rPr>
            </w:pPr>
            <w:r w:rsidRPr="00A11646">
              <w:rPr>
                <w:rFonts w:ascii="Times New Roman" w:eastAsia="Calibri" w:hAnsi="Times New Roman"/>
                <w:sz w:val="28"/>
                <w:szCs w:val="28"/>
              </w:rPr>
              <w:t>54,</w:t>
            </w:r>
            <w:r w:rsidRPr="00A11646">
              <w:rPr>
                <w:rFonts w:ascii="Times New Roman" w:eastAsia="Calibri" w:hAnsi="Times New Roman"/>
                <w:sz w:val="28"/>
                <w:szCs w:val="28"/>
                <w:lang w:val="en-US"/>
              </w:rPr>
              <w:t>9</w:t>
            </w:r>
          </w:p>
          <w:p w:rsidR="00C328C9" w:rsidRPr="00A11646" w:rsidRDefault="00C328C9" w:rsidP="00C328C9">
            <w:pPr>
              <w:spacing w:line="360" w:lineRule="auto"/>
              <w:jc w:val="center"/>
              <w:rPr>
                <w:rFonts w:ascii="Times New Roman" w:eastAsia="Calibri" w:hAnsi="Times New Roman"/>
                <w:sz w:val="28"/>
                <w:szCs w:val="28"/>
                <w:lang w:val="en-US"/>
              </w:rPr>
            </w:pPr>
          </w:p>
        </w:tc>
        <w:tc>
          <w:tcPr>
            <w:tcW w:w="212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r w:rsidRPr="00A11646">
              <w:rPr>
                <w:rFonts w:ascii="Times New Roman" w:eastAsia="Calibri" w:hAnsi="Times New Roman"/>
                <w:sz w:val="28"/>
                <w:szCs w:val="28"/>
              </w:rPr>
              <w:t>3,03</w:t>
            </w:r>
          </w:p>
        </w:tc>
        <w:tc>
          <w:tcPr>
            <w:tcW w:w="1695"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r w:rsidRPr="00A11646">
              <w:rPr>
                <w:rFonts w:ascii="Times New Roman" w:eastAsia="Calibri" w:hAnsi="Times New Roman"/>
                <w:sz w:val="28"/>
                <w:szCs w:val="28"/>
              </w:rPr>
              <w:t>13,6</w:t>
            </w:r>
          </w:p>
        </w:tc>
      </w:tr>
      <w:tr w:rsidR="00C328C9" w:rsidRPr="00A11646" w:rsidTr="00E41F46">
        <w:tc>
          <w:tcPr>
            <w:tcW w:w="530" w:type="dxa"/>
            <w:tcBorders>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p>
        </w:tc>
        <w:tc>
          <w:tcPr>
            <w:tcW w:w="2608"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rPr>
            </w:pPr>
            <w:r w:rsidRPr="00A11646">
              <w:rPr>
                <w:rFonts w:ascii="Times New Roman" w:eastAsia="Calibri" w:hAnsi="Times New Roman"/>
                <w:sz w:val="28"/>
                <w:szCs w:val="28"/>
              </w:rPr>
              <w:t>Всего (</w:t>
            </w:r>
            <w:r w:rsidRPr="00A11646">
              <w:rPr>
                <w:rFonts w:ascii="Times New Roman" w:eastAsia="Calibri" w:hAnsi="Times New Roman"/>
                <w:sz w:val="28"/>
                <w:szCs w:val="28"/>
                <w:lang w:val="en-US"/>
              </w:rPr>
              <w:t>n=1</w:t>
            </w:r>
            <w:r w:rsidRPr="00A11646">
              <w:rPr>
                <w:rFonts w:ascii="Times New Roman" w:eastAsia="Calibri" w:hAnsi="Times New Roman"/>
                <w:sz w:val="28"/>
                <w:szCs w:val="28"/>
              </w:rPr>
              <w:t>24)</w:t>
            </w:r>
          </w:p>
        </w:tc>
        <w:tc>
          <w:tcPr>
            <w:tcW w:w="238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lang w:val="en-US"/>
              </w:rPr>
            </w:pPr>
            <w:r w:rsidRPr="00A11646">
              <w:rPr>
                <w:rFonts w:ascii="Times New Roman" w:eastAsia="Calibri" w:hAnsi="Times New Roman"/>
                <w:sz w:val="28"/>
                <w:szCs w:val="28"/>
                <w:lang w:val="en-US"/>
              </w:rPr>
              <w:t>55,3</w:t>
            </w:r>
          </w:p>
          <w:p w:rsidR="00C328C9" w:rsidRPr="00A11646" w:rsidRDefault="00C328C9" w:rsidP="00C328C9">
            <w:pPr>
              <w:spacing w:line="360" w:lineRule="auto"/>
              <w:jc w:val="center"/>
              <w:rPr>
                <w:rFonts w:ascii="Times New Roman" w:eastAsia="Calibri" w:hAnsi="Times New Roman"/>
                <w:sz w:val="28"/>
                <w:szCs w:val="28"/>
                <w:lang w:val="en-US"/>
              </w:rPr>
            </w:pPr>
          </w:p>
        </w:tc>
        <w:tc>
          <w:tcPr>
            <w:tcW w:w="2126"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lang w:val="en-US"/>
              </w:rPr>
            </w:pPr>
            <w:r w:rsidRPr="00A11646">
              <w:rPr>
                <w:rFonts w:ascii="Times New Roman" w:eastAsia="Calibri" w:hAnsi="Times New Roman"/>
                <w:sz w:val="28"/>
                <w:szCs w:val="28"/>
                <w:lang w:val="en-US"/>
              </w:rPr>
              <w:t>2</w:t>
            </w:r>
            <w:r w:rsidRPr="00A11646">
              <w:rPr>
                <w:rFonts w:ascii="Times New Roman" w:eastAsia="Calibri" w:hAnsi="Times New Roman"/>
                <w:sz w:val="28"/>
                <w:szCs w:val="28"/>
              </w:rPr>
              <w:t>,</w:t>
            </w:r>
            <w:r w:rsidRPr="00A11646">
              <w:rPr>
                <w:rFonts w:ascii="Times New Roman" w:eastAsia="Calibri" w:hAnsi="Times New Roman"/>
                <w:sz w:val="28"/>
                <w:szCs w:val="28"/>
                <w:lang w:val="en-US"/>
              </w:rPr>
              <w:t>3</w:t>
            </w:r>
          </w:p>
        </w:tc>
        <w:tc>
          <w:tcPr>
            <w:tcW w:w="1695" w:type="dxa"/>
            <w:tcBorders>
              <w:top w:val="single" w:sz="4" w:space="0" w:color="auto"/>
              <w:left w:val="single" w:sz="4" w:space="0" w:color="auto"/>
              <w:bottom w:val="single" w:sz="4" w:space="0" w:color="auto"/>
              <w:right w:val="single" w:sz="4" w:space="0" w:color="auto"/>
            </w:tcBorders>
          </w:tcPr>
          <w:p w:rsidR="00C328C9" w:rsidRPr="00A11646" w:rsidRDefault="00C328C9" w:rsidP="00C328C9">
            <w:pPr>
              <w:spacing w:line="360" w:lineRule="auto"/>
              <w:jc w:val="center"/>
              <w:rPr>
                <w:rFonts w:ascii="Times New Roman" w:eastAsia="Calibri" w:hAnsi="Times New Roman"/>
                <w:sz w:val="28"/>
                <w:szCs w:val="28"/>
                <w:lang w:val="en-US"/>
              </w:rPr>
            </w:pPr>
            <w:r w:rsidRPr="00A11646">
              <w:rPr>
                <w:rFonts w:ascii="Times New Roman" w:eastAsia="Calibri" w:hAnsi="Times New Roman"/>
                <w:sz w:val="28"/>
                <w:szCs w:val="28"/>
                <w:lang w:val="en-US"/>
              </w:rPr>
              <w:t>10,2</w:t>
            </w:r>
          </w:p>
          <w:p w:rsidR="00C328C9" w:rsidRPr="00A11646" w:rsidRDefault="00C328C9" w:rsidP="00C328C9">
            <w:pPr>
              <w:spacing w:line="360" w:lineRule="auto"/>
              <w:jc w:val="center"/>
              <w:rPr>
                <w:rFonts w:ascii="Times New Roman" w:eastAsia="Calibri" w:hAnsi="Times New Roman"/>
                <w:sz w:val="28"/>
                <w:szCs w:val="28"/>
                <w:lang w:val="en-US"/>
              </w:rPr>
            </w:pPr>
          </w:p>
        </w:tc>
      </w:tr>
    </w:tbl>
    <w:bookmarkEnd w:id="66"/>
    <w:p w:rsidR="00C328C9" w:rsidRPr="00A11646" w:rsidRDefault="00C328C9" w:rsidP="00CA4766">
      <w:pPr>
        <w:spacing w:line="360" w:lineRule="auto"/>
        <w:jc w:val="both"/>
        <w:rPr>
          <w:rFonts w:ascii="Times New Roman" w:eastAsia="Calibri" w:hAnsi="Times New Roman"/>
          <w:sz w:val="28"/>
          <w:szCs w:val="28"/>
          <w:lang w:val="uz-Cyrl-UZ"/>
        </w:rPr>
      </w:pPr>
      <w:r w:rsidRPr="00A11646">
        <w:rPr>
          <w:rFonts w:ascii="Times New Roman" w:eastAsia="Calibri" w:hAnsi="Times New Roman"/>
          <w:sz w:val="28"/>
          <w:szCs w:val="28"/>
        </w:rPr>
        <w:tab/>
      </w:r>
      <w:r w:rsidRPr="00A11646">
        <w:rPr>
          <w:rFonts w:ascii="Times New Roman" w:eastAsia="Calibri" w:hAnsi="Times New Roman"/>
          <w:sz w:val="28"/>
          <w:szCs w:val="28"/>
          <w:lang w:val="uz-Cyrl-UZ"/>
        </w:rPr>
        <w:t>Анализ встречаемости заболевания в зависимости от возрастной категории больных показал, что на момент первичного обращения и установления диагноза (ММ) превалирующее количество больных (44,4%) приходилось на возрастную категорию от 50 до 60 лет, далее с убывающей тенденцией в возрасте от 60 до 70 лет (21,8%), от 40 до 50 лет (18,5%), от 30 до 40 лет (8,06%), от 70 до 80 лет (5,65%) и наименьший процент встречаемости заболевания составили в возрасте  от 20 до 30 лет (1,6%) (рис. 3.1.1.)</w:t>
      </w:r>
    </w:p>
    <w:p w:rsidR="00C328C9" w:rsidRPr="00A11646" w:rsidRDefault="00C328C9" w:rsidP="00C328C9">
      <w:pPr>
        <w:spacing w:line="360" w:lineRule="auto"/>
        <w:ind w:firstLine="708"/>
        <w:jc w:val="both"/>
        <w:rPr>
          <w:rFonts w:ascii="Times New Roman" w:eastAsia="Calibri" w:hAnsi="Times New Roman"/>
          <w:sz w:val="28"/>
          <w:szCs w:val="28"/>
          <w:lang w:val="uz-Cyrl-UZ"/>
        </w:rPr>
      </w:pPr>
      <w:r w:rsidRPr="00A11646">
        <w:rPr>
          <w:rFonts w:ascii="Times New Roman" w:eastAsia="Calibri" w:hAnsi="Times New Roman"/>
          <w:noProof/>
          <w:sz w:val="28"/>
          <w:szCs w:val="28"/>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8C9" w:rsidRPr="00A11646" w:rsidRDefault="00C328C9" w:rsidP="00C328C9">
      <w:pPr>
        <w:spacing w:line="360" w:lineRule="auto"/>
        <w:ind w:firstLine="708"/>
        <w:jc w:val="both"/>
        <w:rPr>
          <w:rFonts w:ascii="Times New Roman" w:eastAsia="Calibri" w:hAnsi="Times New Roman"/>
          <w:b/>
          <w:sz w:val="28"/>
          <w:szCs w:val="28"/>
          <w:lang w:val="uz-Cyrl-UZ"/>
        </w:rPr>
      </w:pPr>
      <w:r w:rsidRPr="00A11646">
        <w:rPr>
          <w:rFonts w:ascii="Times New Roman" w:eastAsia="Calibri" w:hAnsi="Times New Roman"/>
          <w:b/>
          <w:sz w:val="28"/>
          <w:szCs w:val="28"/>
          <w:lang w:val="uz-Cyrl-UZ"/>
        </w:rPr>
        <w:t>Рис. 3.1.1. Встречаемость ММ в различных возрастных группах больных.</w:t>
      </w:r>
    </w:p>
    <w:p w:rsidR="00C328C9" w:rsidRPr="00A11646" w:rsidRDefault="00C328C9" w:rsidP="00C328C9">
      <w:pPr>
        <w:pStyle w:val="a3"/>
        <w:spacing w:line="360" w:lineRule="auto"/>
        <w:ind w:firstLine="709"/>
        <w:jc w:val="both"/>
        <w:rPr>
          <w:color w:val="auto"/>
        </w:rPr>
      </w:pPr>
      <w:r w:rsidRPr="00A11646">
        <w:rPr>
          <w:color w:val="auto"/>
          <w:lang w:val="uz-Cyrl-UZ"/>
        </w:rPr>
        <w:t>Из данных приведенных на рис. 3.1.1. видно, что соотношение мужчин и женщин в разных возрастных группах примерно одинаковая, имеются различия в двух группах:  от 50 до 60 лет – 0,6:1 и от 60 до 70 лет – 1,7:1.</w:t>
      </w:r>
    </w:p>
    <w:p w:rsidR="00C328C9" w:rsidRPr="00A11646" w:rsidRDefault="00C328C9" w:rsidP="00C328C9">
      <w:pPr>
        <w:pStyle w:val="a3"/>
        <w:spacing w:line="360" w:lineRule="auto"/>
        <w:ind w:firstLine="709"/>
        <w:jc w:val="both"/>
        <w:rPr>
          <w:color w:val="auto"/>
        </w:rPr>
      </w:pPr>
      <w:bookmarkStart w:id="67" w:name="_Hlk7084501"/>
      <w:r w:rsidRPr="00A11646">
        <w:rPr>
          <w:color w:val="auto"/>
          <w:lang w:val="uz-Cyrl-UZ"/>
        </w:rPr>
        <w:lastRenderedPageBreak/>
        <w:t xml:space="preserve">На этапе верификации диагноза у больных ММ в соответствие со </w:t>
      </w:r>
      <w:r w:rsidRPr="00A11646">
        <w:rPr>
          <w:color w:val="auto"/>
        </w:rPr>
        <w:t xml:space="preserve">стадийной классификацией G.M. Durie и S.E. Salmon (1975) </w:t>
      </w:r>
      <w:r w:rsidRPr="00A11646">
        <w:rPr>
          <w:color w:val="auto"/>
          <w:lang w:val="uz-Cyrl-UZ"/>
        </w:rPr>
        <w:t xml:space="preserve">определялась стадия заболевания. В нашем исследовании у обследованных больных диагностировалась стадия  </w:t>
      </w:r>
      <w:r w:rsidRPr="00A11646">
        <w:rPr>
          <w:color w:val="auto"/>
          <w:lang w:val="en-US"/>
        </w:rPr>
        <w:t>II</w:t>
      </w:r>
      <w:r w:rsidRPr="00A11646">
        <w:rPr>
          <w:color w:val="auto"/>
        </w:rPr>
        <w:t xml:space="preserve"> «А» и «В», а также </w:t>
      </w:r>
      <w:r w:rsidRPr="00A11646">
        <w:rPr>
          <w:color w:val="auto"/>
          <w:lang w:val="en-US"/>
        </w:rPr>
        <w:t>III</w:t>
      </w:r>
      <w:r w:rsidRPr="00A11646">
        <w:rPr>
          <w:color w:val="auto"/>
        </w:rPr>
        <w:t xml:space="preserve"> «А» и «В». Стадия </w:t>
      </w:r>
      <w:bookmarkStart w:id="68" w:name="_Hlk5643864"/>
      <w:r w:rsidRPr="00A11646">
        <w:rPr>
          <w:color w:val="auto"/>
          <w:lang w:val="en-US"/>
        </w:rPr>
        <w:t>I</w:t>
      </w:r>
      <w:bookmarkEnd w:id="68"/>
      <w:r w:rsidRPr="00A11646">
        <w:rPr>
          <w:color w:val="auto"/>
        </w:rPr>
        <w:t xml:space="preserve"> среди больных </w:t>
      </w:r>
      <w:r w:rsidRPr="00A11646">
        <w:rPr>
          <w:color w:val="auto"/>
          <w:lang w:val="uz-Cyrl-UZ"/>
        </w:rPr>
        <w:t>не выявлена</w:t>
      </w:r>
      <w:r w:rsidRPr="00A11646">
        <w:rPr>
          <w:color w:val="auto"/>
        </w:rPr>
        <w:t xml:space="preserve">, возможно этот факт связан с тем, что в  </w:t>
      </w:r>
      <w:r w:rsidRPr="00A11646">
        <w:rPr>
          <w:color w:val="auto"/>
          <w:lang w:val="en-US"/>
        </w:rPr>
        <w:t>I</w:t>
      </w:r>
      <w:r w:rsidRPr="00A11646">
        <w:rPr>
          <w:color w:val="auto"/>
        </w:rPr>
        <w:t xml:space="preserve"> стадии заболевание протекает без- или малосимптомно, и как результат этого пациенты не обращаются к врачам, а лишь случайно выявляются при обращении в лечебные учреждения по поводу другого заболевания или при профилактических медицинских осмотрах и обследованиях. </w:t>
      </w:r>
    </w:p>
    <w:p w:rsidR="00C328C9" w:rsidRPr="00A11646" w:rsidRDefault="00C328C9" w:rsidP="00C328C9">
      <w:pPr>
        <w:pStyle w:val="a3"/>
        <w:spacing w:line="360" w:lineRule="auto"/>
        <w:ind w:firstLine="709"/>
        <w:jc w:val="both"/>
        <w:rPr>
          <w:color w:val="auto"/>
        </w:rPr>
      </w:pPr>
      <w:r w:rsidRPr="00A11646">
        <w:rPr>
          <w:color w:val="auto"/>
        </w:rPr>
        <w:t xml:space="preserve">Анализируя результаты определения стадии ММ выявлено, что количество больных со </w:t>
      </w:r>
      <w:r w:rsidRPr="00A11646">
        <w:rPr>
          <w:color w:val="auto"/>
          <w:lang w:val="en-US"/>
        </w:rPr>
        <w:t>II</w:t>
      </w:r>
      <w:r w:rsidRPr="00A11646">
        <w:rPr>
          <w:color w:val="auto"/>
        </w:rPr>
        <w:t xml:space="preserve">  стадией составило – 21 (16,8%, мужчин – 14, женщин-10), среди которых со </w:t>
      </w:r>
      <w:r w:rsidRPr="00A11646">
        <w:rPr>
          <w:color w:val="auto"/>
          <w:lang w:val="en-US"/>
        </w:rPr>
        <w:t>II</w:t>
      </w:r>
      <w:r w:rsidRPr="00A11646">
        <w:rPr>
          <w:color w:val="auto"/>
        </w:rPr>
        <w:t>«</w:t>
      </w:r>
      <w:r w:rsidRPr="00A11646">
        <w:rPr>
          <w:color w:val="auto"/>
          <w:lang w:val="uz-Cyrl-UZ"/>
        </w:rPr>
        <w:t>А</w:t>
      </w:r>
      <w:r w:rsidRPr="00A11646">
        <w:rPr>
          <w:color w:val="auto"/>
        </w:rPr>
        <w:t xml:space="preserve">» - 12 (9,8%,  мужчин – 7, женщин – 5)    и  со </w:t>
      </w:r>
      <w:r w:rsidRPr="00A11646">
        <w:rPr>
          <w:color w:val="auto"/>
          <w:lang w:val="en-US"/>
        </w:rPr>
        <w:t>II</w:t>
      </w:r>
      <w:r w:rsidRPr="00A11646">
        <w:rPr>
          <w:color w:val="auto"/>
        </w:rPr>
        <w:t xml:space="preserve"> «В»  - 9 ( 7,3%, мужчин – 7, женщин – 5),  тогда как общее количество больных ММ с </w:t>
      </w:r>
      <w:r w:rsidRPr="00A11646">
        <w:rPr>
          <w:color w:val="auto"/>
          <w:lang w:val="en-US"/>
        </w:rPr>
        <w:t>III</w:t>
      </w:r>
      <w:r w:rsidRPr="00A11646">
        <w:rPr>
          <w:color w:val="auto"/>
          <w:lang w:val="uz-Cyrl-UZ"/>
        </w:rPr>
        <w:t xml:space="preserve"> стадией составило </w:t>
      </w:r>
      <w:r w:rsidRPr="00A11646">
        <w:rPr>
          <w:color w:val="auto"/>
        </w:rPr>
        <w:t xml:space="preserve"> - 103 (83,2%, мужчин – 47, женщин – 56), из них с </w:t>
      </w:r>
      <w:r w:rsidRPr="00A11646">
        <w:rPr>
          <w:color w:val="auto"/>
          <w:lang w:val="en-US"/>
        </w:rPr>
        <w:t>III</w:t>
      </w:r>
      <w:r w:rsidRPr="00A11646">
        <w:rPr>
          <w:color w:val="auto"/>
        </w:rPr>
        <w:t xml:space="preserve"> «А» - 51 (мужчин – 20, женщин – 31) и  </w:t>
      </w:r>
      <w:r w:rsidRPr="00A11646">
        <w:rPr>
          <w:color w:val="auto"/>
          <w:lang w:val="en-US"/>
        </w:rPr>
        <w:t>III</w:t>
      </w:r>
      <w:r w:rsidRPr="00A11646">
        <w:rPr>
          <w:color w:val="auto"/>
        </w:rPr>
        <w:t xml:space="preserve"> «В» - 52 (мужчин – 27, женщин – 25)</w:t>
      </w:r>
      <w:bookmarkEnd w:id="67"/>
      <w:r w:rsidRPr="00A11646">
        <w:rPr>
          <w:color w:val="auto"/>
        </w:rPr>
        <w:t xml:space="preserve"> (рис 3.1.2).</w:t>
      </w:r>
    </w:p>
    <w:p w:rsidR="00C328C9" w:rsidRPr="00A11646" w:rsidRDefault="00C328C9" w:rsidP="00C328C9">
      <w:pPr>
        <w:pStyle w:val="a3"/>
        <w:spacing w:line="360" w:lineRule="auto"/>
        <w:ind w:firstLine="709"/>
        <w:jc w:val="both"/>
        <w:rPr>
          <w:color w:val="auto"/>
        </w:rPr>
      </w:pPr>
    </w:p>
    <w:p w:rsidR="00C328C9" w:rsidRPr="00A11646" w:rsidRDefault="00C328C9" w:rsidP="00C328C9">
      <w:pPr>
        <w:spacing w:line="360" w:lineRule="auto"/>
        <w:ind w:firstLine="708"/>
        <w:jc w:val="both"/>
        <w:rPr>
          <w:rFonts w:ascii="Times New Roman" w:eastAsia="Calibri" w:hAnsi="Times New Roman"/>
          <w:sz w:val="28"/>
          <w:szCs w:val="28"/>
          <w:lang w:val="uz-Cyrl-UZ"/>
        </w:rPr>
      </w:pPr>
      <w:r w:rsidRPr="00A11646">
        <w:rPr>
          <w:rFonts w:ascii="Times New Roman" w:eastAsia="Calibri" w:hAnsi="Times New Roman"/>
          <w:noProof/>
          <w:sz w:val="28"/>
          <w:szCs w:val="28"/>
        </w:rPr>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28C9" w:rsidRPr="00A11646" w:rsidRDefault="00C328C9" w:rsidP="00C328C9">
      <w:pPr>
        <w:spacing w:line="360" w:lineRule="auto"/>
        <w:ind w:firstLine="708"/>
        <w:jc w:val="both"/>
        <w:rPr>
          <w:rFonts w:ascii="Times New Roman" w:eastAsia="Calibri" w:hAnsi="Times New Roman"/>
          <w:b/>
          <w:sz w:val="28"/>
          <w:szCs w:val="28"/>
          <w:lang w:val="uz-Cyrl-UZ"/>
        </w:rPr>
      </w:pPr>
      <w:r w:rsidRPr="00A11646">
        <w:rPr>
          <w:rFonts w:ascii="Times New Roman" w:eastAsia="Calibri" w:hAnsi="Times New Roman"/>
          <w:b/>
          <w:sz w:val="28"/>
          <w:szCs w:val="28"/>
          <w:lang w:val="uz-Cyrl-UZ"/>
        </w:rPr>
        <w:t xml:space="preserve">Рис.3.1.2. Распределение больных ММ по стадиям (по </w:t>
      </w:r>
      <w:r w:rsidRPr="00A11646">
        <w:rPr>
          <w:rFonts w:ascii="Times New Roman" w:eastAsia="Calibri" w:hAnsi="Times New Roman"/>
          <w:b/>
          <w:sz w:val="28"/>
          <w:szCs w:val="28"/>
        </w:rPr>
        <w:t>G.M. Durie и S.E. Salmon (1975)</w:t>
      </w:r>
      <w:r w:rsidRPr="00A11646">
        <w:rPr>
          <w:rFonts w:ascii="Times New Roman" w:eastAsia="Calibri" w:hAnsi="Times New Roman"/>
          <w:b/>
          <w:sz w:val="28"/>
          <w:szCs w:val="28"/>
          <w:lang w:val="uz-Cyrl-UZ"/>
        </w:rPr>
        <w:t>.</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bookmarkStart w:id="69" w:name="_Hlk7084588"/>
      <w:bookmarkEnd w:id="62"/>
      <w:r w:rsidRPr="00A11646">
        <w:rPr>
          <w:rFonts w:ascii="Times New Roman" w:hAnsi="Times New Roman"/>
          <w:sz w:val="28"/>
          <w:szCs w:val="28"/>
        </w:rPr>
        <w:lastRenderedPageBreak/>
        <w:t xml:space="preserve">Количество больных с </w:t>
      </w:r>
      <w:r w:rsidRPr="00A11646">
        <w:rPr>
          <w:rFonts w:ascii="Times New Roman" w:hAnsi="Times New Roman"/>
          <w:sz w:val="28"/>
          <w:szCs w:val="28"/>
          <w:lang w:val="en-US"/>
        </w:rPr>
        <w:t>III</w:t>
      </w:r>
      <w:r w:rsidR="007C23AD">
        <w:rPr>
          <w:rFonts w:ascii="Times New Roman" w:hAnsi="Times New Roman"/>
          <w:sz w:val="28"/>
          <w:szCs w:val="28"/>
        </w:rPr>
        <w:t xml:space="preserve"> </w:t>
      </w:r>
      <w:r w:rsidRPr="00A11646">
        <w:rPr>
          <w:rFonts w:ascii="Times New Roman" w:hAnsi="Times New Roman"/>
          <w:sz w:val="28"/>
          <w:szCs w:val="28"/>
        </w:rPr>
        <w:t xml:space="preserve">стадией заболевания превышало таковое со </w:t>
      </w:r>
      <w:r w:rsidRPr="00A11646">
        <w:rPr>
          <w:rFonts w:ascii="Times New Roman" w:hAnsi="Times New Roman"/>
          <w:sz w:val="28"/>
          <w:szCs w:val="28"/>
          <w:lang w:val="en-US"/>
        </w:rPr>
        <w:t>II</w:t>
      </w:r>
      <w:r w:rsidRPr="00A11646">
        <w:rPr>
          <w:rFonts w:ascii="Times New Roman" w:hAnsi="Times New Roman"/>
          <w:sz w:val="28"/>
          <w:szCs w:val="28"/>
        </w:rPr>
        <w:t xml:space="preserve"> стадией в 4,9 раз, что свидетельствует об обращении большего процента больных в тяжелом состоянии.</w:t>
      </w:r>
    </w:p>
    <w:bookmarkEnd w:id="69"/>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В соответствие с задачами исследования среди больных ММ проводилось определение</w:t>
      </w:r>
      <w:r w:rsidRPr="00A11646">
        <w:rPr>
          <w:rFonts w:ascii="Times New Roman" w:hAnsi="Times New Roman"/>
          <w:sz w:val="28"/>
          <w:szCs w:val="28"/>
          <w:lang w:val="uz-Cyrl-UZ"/>
        </w:rPr>
        <w:t xml:space="preserve"> частоты встречаемости</w:t>
      </w:r>
      <w:r w:rsidRPr="00A11646">
        <w:rPr>
          <w:rFonts w:ascii="Times New Roman" w:hAnsi="Times New Roman"/>
          <w:sz w:val="28"/>
          <w:szCs w:val="28"/>
        </w:rPr>
        <w:t>иммунохимическ</w:t>
      </w:r>
      <w:r w:rsidRPr="00A11646">
        <w:rPr>
          <w:rFonts w:ascii="Times New Roman" w:hAnsi="Times New Roman"/>
          <w:sz w:val="28"/>
          <w:szCs w:val="28"/>
          <w:lang w:val="uz-Cyrl-UZ"/>
        </w:rPr>
        <w:t>их</w:t>
      </w:r>
      <w:r w:rsidRPr="00A11646">
        <w:rPr>
          <w:rFonts w:ascii="Times New Roman" w:hAnsi="Times New Roman"/>
          <w:sz w:val="28"/>
          <w:szCs w:val="28"/>
        </w:rPr>
        <w:t xml:space="preserve"> вариант</w:t>
      </w:r>
      <w:r w:rsidRPr="00A11646">
        <w:rPr>
          <w:rFonts w:ascii="Times New Roman" w:hAnsi="Times New Roman"/>
          <w:sz w:val="28"/>
          <w:szCs w:val="28"/>
          <w:lang w:val="uz-Cyrl-UZ"/>
        </w:rPr>
        <w:t>ов</w:t>
      </w:r>
      <w:r w:rsidRPr="00A11646">
        <w:rPr>
          <w:rFonts w:ascii="Times New Roman" w:hAnsi="Times New Roman"/>
          <w:sz w:val="28"/>
          <w:szCs w:val="28"/>
        </w:rPr>
        <w:t xml:space="preserve"> заболевания, заключающееся в определение моноклональных иммуноглобулинов (</w:t>
      </w:r>
      <w:r w:rsidRPr="00A11646">
        <w:rPr>
          <w:rFonts w:ascii="Times New Roman" w:hAnsi="Times New Roman"/>
          <w:sz w:val="28"/>
          <w:szCs w:val="28"/>
          <w:lang w:val="en-US"/>
        </w:rPr>
        <w:t>Ig</w:t>
      </w:r>
      <w:r w:rsidRPr="00A11646">
        <w:rPr>
          <w:rFonts w:ascii="Times New Roman" w:hAnsi="Times New Roman"/>
          <w:sz w:val="28"/>
          <w:szCs w:val="28"/>
        </w:rPr>
        <w:t>)</w:t>
      </w:r>
      <w:r w:rsidR="004647B8">
        <w:rPr>
          <w:rFonts w:ascii="Times New Roman" w:hAnsi="Times New Roman"/>
          <w:sz w:val="28"/>
          <w:szCs w:val="28"/>
          <w:lang w:val="uz-Cyrl-UZ"/>
        </w:rPr>
        <w:t xml:space="preserve"> </w:t>
      </w:r>
      <w:r w:rsidRPr="00A11646">
        <w:rPr>
          <w:rFonts w:ascii="Times New Roman" w:hAnsi="Times New Roman"/>
          <w:sz w:val="28"/>
          <w:szCs w:val="28"/>
        </w:rPr>
        <w:t xml:space="preserve">тяжелых, легких и </w:t>
      </w:r>
      <w:r w:rsidRPr="00A11646">
        <w:rPr>
          <w:rFonts w:ascii="Times New Roman" w:hAnsi="Times New Roman"/>
          <w:sz w:val="28"/>
          <w:szCs w:val="28"/>
          <w:lang w:val="en-US"/>
        </w:rPr>
        <w:t>free</w:t>
      </w:r>
      <w:r w:rsidRPr="00A11646">
        <w:rPr>
          <w:rFonts w:ascii="Times New Roman" w:hAnsi="Times New Roman"/>
          <w:sz w:val="28"/>
          <w:szCs w:val="28"/>
        </w:rPr>
        <w:t xml:space="preserve"> цепей</w:t>
      </w:r>
      <w:r w:rsidRPr="00A11646">
        <w:rPr>
          <w:rFonts w:ascii="Times New Roman" w:hAnsi="Times New Roman"/>
          <w:sz w:val="28"/>
          <w:szCs w:val="28"/>
          <w:lang w:val="uz-Cyrl-UZ"/>
        </w:rPr>
        <w:t>.</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70" w:name="_Hlk7084848"/>
      <w:r w:rsidRPr="00A11646">
        <w:rPr>
          <w:rFonts w:ascii="Times New Roman" w:hAnsi="Times New Roman"/>
          <w:sz w:val="28"/>
          <w:szCs w:val="28"/>
          <w:lang w:val="uz-Cyrl-UZ"/>
        </w:rPr>
        <w:t xml:space="preserve">Типирование на иммуноглобулины показало наличие среди обследованных больных следующих вариантов </w:t>
      </w:r>
      <w:r w:rsidRPr="00A11646">
        <w:rPr>
          <w:rFonts w:ascii="Times New Roman" w:hAnsi="Times New Roman"/>
          <w:sz w:val="28"/>
          <w:szCs w:val="28"/>
          <w:lang w:val="en-US"/>
        </w:rPr>
        <w:t>Ig</w:t>
      </w:r>
      <w:r w:rsidRPr="00A11646">
        <w:rPr>
          <w:rFonts w:ascii="Times New Roman" w:hAnsi="Times New Roman"/>
          <w:sz w:val="28"/>
          <w:szCs w:val="28"/>
          <w:lang w:val="uz-Cyrl-UZ"/>
        </w:rPr>
        <w:t>: иммуноглобулины типа IgG κ-цепи у 56 (</w:t>
      </w:r>
      <w:bookmarkStart w:id="71" w:name="_Hlk5650005"/>
      <w:r w:rsidRPr="00A11646">
        <w:rPr>
          <w:rFonts w:ascii="Times New Roman" w:hAnsi="Times New Roman"/>
          <w:sz w:val="28"/>
          <w:szCs w:val="28"/>
          <w:lang w:val="uz-Cyrl-UZ"/>
        </w:rPr>
        <w:t>45,2%, мужчин – 25, женщин – 31</w:t>
      </w:r>
      <w:bookmarkEnd w:id="71"/>
      <w:r w:rsidRPr="00A11646">
        <w:rPr>
          <w:rFonts w:ascii="Times New Roman" w:hAnsi="Times New Roman"/>
          <w:sz w:val="28"/>
          <w:szCs w:val="28"/>
          <w:lang w:val="uz-Cyrl-UZ"/>
        </w:rPr>
        <w:t xml:space="preserve">), IgG λ-цепи у 26 (21,0%, мужчин – 14, женщин – 12), IgA κ-цепи у 8 (6,5%, мужчин – 3, женщин – 5), IgА λ-цепи у 14 (11,3%, мужчин – 8, женщин - 6). Наряду с этими типами </w:t>
      </w:r>
      <w:r w:rsidRPr="00A11646">
        <w:rPr>
          <w:rFonts w:ascii="Times New Roman" w:hAnsi="Times New Roman"/>
          <w:sz w:val="28"/>
          <w:szCs w:val="28"/>
          <w:lang w:val="en-US"/>
        </w:rPr>
        <w:t>Ig</w:t>
      </w:r>
      <w:r w:rsidRPr="00A11646">
        <w:rPr>
          <w:rFonts w:ascii="Times New Roman" w:hAnsi="Times New Roman"/>
          <w:sz w:val="28"/>
          <w:szCs w:val="28"/>
        </w:rPr>
        <w:t>, также определялись и редкие типы</w:t>
      </w:r>
      <w:r w:rsidRPr="00A11646">
        <w:rPr>
          <w:rFonts w:ascii="Times New Roman" w:hAnsi="Times New Roman"/>
          <w:sz w:val="28"/>
          <w:szCs w:val="28"/>
          <w:lang w:val="uz-Cyrl-UZ"/>
        </w:rPr>
        <w:t xml:space="preserve"> у 20 (16,0%, мужчин - 8, женщин - 12) больных определяли редкие тип</w:t>
      </w:r>
      <w:r w:rsidRPr="00A11646">
        <w:rPr>
          <w:rFonts w:ascii="Times New Roman" w:hAnsi="Times New Roman"/>
          <w:sz w:val="28"/>
          <w:szCs w:val="28"/>
        </w:rPr>
        <w:t>ы</w:t>
      </w:r>
      <w:r w:rsidRPr="00A11646">
        <w:rPr>
          <w:rFonts w:ascii="Times New Roman" w:hAnsi="Times New Roman"/>
          <w:sz w:val="28"/>
          <w:szCs w:val="28"/>
          <w:lang w:val="uz-Cyrl-UZ"/>
        </w:rPr>
        <w:t xml:space="preserve"> иммуноглобулинов: сочетание IgGκ + IgAλ, у 7 (5,6%), сочетание IgGλ+IgМκ у  1 (0,8%) и</w:t>
      </w:r>
      <w:r w:rsidRPr="00A11646">
        <w:rPr>
          <w:rFonts w:ascii="Times New Roman" w:hAnsi="Times New Roman"/>
          <w:sz w:val="28"/>
          <w:szCs w:val="28"/>
          <w:lang w:val="en-US"/>
        </w:rPr>
        <w:t>Gλ</w:t>
      </w:r>
      <w:r w:rsidRPr="00A11646">
        <w:rPr>
          <w:rFonts w:ascii="Times New Roman" w:hAnsi="Times New Roman"/>
          <w:sz w:val="28"/>
          <w:szCs w:val="28"/>
        </w:rPr>
        <w:t>+</w:t>
      </w:r>
      <w:r w:rsidRPr="00A11646">
        <w:rPr>
          <w:rFonts w:ascii="Times New Roman" w:hAnsi="Times New Roman"/>
          <w:sz w:val="28"/>
          <w:szCs w:val="28"/>
          <w:lang w:val="en-US"/>
        </w:rPr>
        <w:t>Mκ</w:t>
      </w:r>
      <w:r w:rsidRPr="00A11646">
        <w:rPr>
          <w:rFonts w:ascii="Times New Roman" w:hAnsi="Times New Roman"/>
          <w:sz w:val="28"/>
          <w:szCs w:val="28"/>
        </w:rPr>
        <w:t xml:space="preserve"> у 1 (0,8%)</w:t>
      </w:r>
      <w:r w:rsidRPr="00A11646">
        <w:rPr>
          <w:rFonts w:ascii="Times New Roman" w:hAnsi="Times New Roman"/>
          <w:sz w:val="28"/>
          <w:szCs w:val="28"/>
          <w:lang w:val="uz-Cyrl-UZ"/>
        </w:rPr>
        <w:t xml:space="preserve">, сочетание  Gκ+Aλ+ свободной легкой  цепи 2 λ у 1 (0,8%), IgGκ и свободной легкой цепи λ  у 2 (1,6%) - IgАκ и свободной легкой цепи </w:t>
      </w:r>
      <w:bookmarkStart w:id="72" w:name="_Hlk5651130"/>
      <w:r w:rsidRPr="00A11646">
        <w:rPr>
          <w:rFonts w:ascii="Times New Roman" w:hAnsi="Times New Roman"/>
          <w:sz w:val="28"/>
          <w:szCs w:val="28"/>
          <w:lang w:val="uz-Cyrl-UZ"/>
        </w:rPr>
        <w:t>λ</w:t>
      </w:r>
      <w:bookmarkEnd w:id="72"/>
      <w:r w:rsidRPr="00A11646">
        <w:rPr>
          <w:rFonts w:ascii="Times New Roman" w:hAnsi="Times New Roman"/>
          <w:sz w:val="28"/>
          <w:szCs w:val="28"/>
          <w:lang w:val="uz-Cyrl-UZ"/>
        </w:rPr>
        <w:t xml:space="preserve"> у 1 (0,8%) больных. Наряду с этим у 6 (4,8%) больных определялись свободные легкие цепи λ и у 1 (0,8%) – κ цепи </w:t>
      </w:r>
      <w:bookmarkEnd w:id="70"/>
      <w:r w:rsidRPr="00A11646">
        <w:rPr>
          <w:rFonts w:ascii="Times New Roman" w:hAnsi="Times New Roman"/>
          <w:sz w:val="28"/>
          <w:szCs w:val="28"/>
          <w:lang w:val="uz-Cyrl-UZ"/>
        </w:rPr>
        <w:t>(рис.3.1.3.).</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lastRenderedPageBreak/>
        <w:drawing>
          <wp:inline distT="0" distB="0" distL="0" distR="0">
            <wp:extent cx="5486400" cy="3200400"/>
            <wp:effectExtent l="3810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3.1.3. Частота встречаемости иммунохимических вариантов ММ</w:t>
      </w:r>
    </w:p>
    <w:p w:rsidR="00C328C9" w:rsidRPr="00A11646" w:rsidRDefault="00C328C9" w:rsidP="00C328C9">
      <w:pPr>
        <w:autoSpaceDE w:val="0"/>
        <w:autoSpaceDN w:val="0"/>
        <w:adjustRightInd w:val="0"/>
        <w:spacing w:after="0" w:line="360" w:lineRule="auto"/>
        <w:jc w:val="both"/>
        <w:rPr>
          <w:rFonts w:ascii="Times New Roman" w:hAnsi="Times New Roman"/>
          <w:sz w:val="28"/>
          <w:szCs w:val="28"/>
          <w:lang w:val="uz-Cyrl-UZ"/>
        </w:rPr>
      </w:pPr>
      <w:r w:rsidRPr="00A11646">
        <w:rPr>
          <w:rFonts w:ascii="Times New Roman" w:hAnsi="Times New Roman"/>
          <w:sz w:val="28"/>
          <w:szCs w:val="28"/>
          <w:lang w:val="uz-Cyrl-UZ"/>
        </w:rPr>
        <w:tab/>
        <w:t>В зависимости от возраста иммунохимические варианты ММ в процентном соотношении распределялись следующим образом (табл. 3.1.2.):</w:t>
      </w:r>
    </w:p>
    <w:p w:rsidR="00C328C9" w:rsidRPr="00A11646" w:rsidRDefault="00C328C9" w:rsidP="00C328C9">
      <w:pPr>
        <w:autoSpaceDE w:val="0"/>
        <w:autoSpaceDN w:val="0"/>
        <w:adjustRightInd w:val="0"/>
        <w:spacing w:after="0" w:line="360" w:lineRule="auto"/>
        <w:jc w:val="right"/>
        <w:rPr>
          <w:rFonts w:ascii="Times New Roman" w:hAnsi="Times New Roman"/>
          <w:sz w:val="28"/>
          <w:szCs w:val="28"/>
          <w:lang w:val="uz-Cyrl-UZ"/>
        </w:rPr>
      </w:pPr>
    </w:p>
    <w:p w:rsidR="00C328C9" w:rsidRPr="00A11646" w:rsidRDefault="00C328C9" w:rsidP="00C328C9">
      <w:pPr>
        <w:autoSpaceDE w:val="0"/>
        <w:autoSpaceDN w:val="0"/>
        <w:adjustRightInd w:val="0"/>
        <w:spacing w:after="0" w:line="360" w:lineRule="auto"/>
        <w:jc w:val="right"/>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28C9" w:rsidRPr="00A11646" w:rsidRDefault="00C328C9" w:rsidP="00C328C9">
      <w:pPr>
        <w:autoSpaceDE w:val="0"/>
        <w:autoSpaceDN w:val="0"/>
        <w:adjustRightInd w:val="0"/>
        <w:spacing w:after="0" w:line="360" w:lineRule="auto"/>
        <w:jc w:val="both"/>
        <w:rPr>
          <w:rFonts w:ascii="Times New Roman" w:hAnsi="Times New Roman"/>
          <w:b/>
          <w:sz w:val="28"/>
          <w:szCs w:val="28"/>
          <w:lang w:val="uz-Cyrl-UZ"/>
        </w:rPr>
      </w:pPr>
      <w:r w:rsidRPr="00A11646">
        <w:rPr>
          <w:rFonts w:ascii="Times New Roman" w:hAnsi="Times New Roman"/>
          <w:sz w:val="28"/>
          <w:szCs w:val="28"/>
          <w:lang w:val="uz-Cyrl-UZ"/>
        </w:rPr>
        <w:lastRenderedPageBreak/>
        <w:tab/>
      </w:r>
      <w:r w:rsidRPr="00A11646">
        <w:rPr>
          <w:rFonts w:ascii="Times New Roman" w:hAnsi="Times New Roman"/>
          <w:b/>
          <w:sz w:val="28"/>
          <w:szCs w:val="28"/>
          <w:lang w:val="uz-Cyrl-UZ"/>
        </w:rPr>
        <w:t>Рис.3.1.4. Процентное соотношение распределения иммунохимических вариантов ММ в зависимости от возрастных групп.</w:t>
      </w:r>
    </w:p>
    <w:p w:rsidR="00C328C9" w:rsidRPr="00A11646" w:rsidRDefault="00C328C9" w:rsidP="00C328C9">
      <w:pPr>
        <w:autoSpaceDE w:val="0"/>
        <w:autoSpaceDN w:val="0"/>
        <w:adjustRightInd w:val="0"/>
        <w:spacing w:after="0" w:line="360" w:lineRule="auto"/>
        <w:jc w:val="both"/>
        <w:rPr>
          <w:rFonts w:ascii="Times New Roman" w:hAnsi="Times New Roman"/>
          <w:sz w:val="28"/>
          <w:szCs w:val="28"/>
          <w:lang w:val="uz-Cyrl-UZ"/>
        </w:rPr>
      </w:pPr>
      <w:r w:rsidRPr="00A11646">
        <w:rPr>
          <w:rFonts w:ascii="Times New Roman" w:hAnsi="Times New Roman"/>
          <w:sz w:val="28"/>
          <w:szCs w:val="28"/>
          <w:lang w:val="uz-Cyrl-UZ"/>
        </w:rPr>
        <w:tab/>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 xml:space="preserve">Распределение типов иммуноглобулинов в зависимости от возрастных групп показало, что медиана возраста у больных ММ с иммунохимическими вариантами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κ </w:t>
      </w:r>
      <w:bookmarkStart w:id="73" w:name="_Hlk5655010"/>
      <w:r w:rsidRPr="00A11646">
        <w:rPr>
          <w:rFonts w:ascii="Times New Roman" w:eastAsia="Times New Roman" w:hAnsi="Times New Roman"/>
          <w:sz w:val="28"/>
          <w:szCs w:val="28"/>
        </w:rPr>
        <w:t>(56,04±2,04 лет)</w:t>
      </w:r>
      <w:bookmarkEnd w:id="73"/>
      <w:r w:rsidRPr="00A11646">
        <w:rPr>
          <w:rFonts w:ascii="Times New Roman" w:eastAsia="Times New Roman" w:hAnsi="Times New Roman"/>
          <w:sz w:val="28"/>
          <w:szCs w:val="28"/>
        </w:rPr>
        <w:t xml:space="preserve">,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λ (57,9±1,8 лет) и редкими типами (57,5±2,7 лет) превышала с  типами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λ (52,7±2,8 лет) и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κ (50,6±2,3 лет) (табл. 3.1.2.).</w:t>
      </w:r>
    </w:p>
    <w:p w:rsidR="00C328C9" w:rsidRPr="00A11646" w:rsidRDefault="00C328C9" w:rsidP="00C328C9">
      <w:pPr>
        <w:autoSpaceDE w:val="0"/>
        <w:autoSpaceDN w:val="0"/>
        <w:adjustRightInd w:val="0"/>
        <w:spacing w:after="0" w:line="360" w:lineRule="auto"/>
        <w:jc w:val="right"/>
        <w:rPr>
          <w:rFonts w:ascii="Times New Roman" w:hAnsi="Times New Roman"/>
          <w:b/>
          <w:sz w:val="28"/>
          <w:szCs w:val="28"/>
          <w:lang w:val="uz-Cyrl-UZ"/>
        </w:rPr>
      </w:pPr>
      <w:r w:rsidRPr="00A11646">
        <w:rPr>
          <w:rFonts w:ascii="Times New Roman" w:hAnsi="Times New Roman"/>
          <w:b/>
          <w:sz w:val="28"/>
          <w:szCs w:val="28"/>
          <w:lang w:val="uz-Cyrl-UZ"/>
        </w:rPr>
        <w:t>Таблица 3.1.2.</w:t>
      </w:r>
    </w:p>
    <w:p w:rsidR="00C328C9" w:rsidRDefault="00C328C9" w:rsidP="00C328C9">
      <w:pPr>
        <w:tabs>
          <w:tab w:val="left" w:pos="200"/>
        </w:tabs>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Распределение типов иммуноглобулинов в зависимости от медианы возраста (</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p>
    <w:p w:rsidR="00E41F46" w:rsidRDefault="00E41F46" w:rsidP="00C328C9">
      <w:pPr>
        <w:tabs>
          <w:tab w:val="left" w:pos="200"/>
        </w:tabs>
        <w:spacing w:after="0" w:line="240" w:lineRule="auto"/>
        <w:jc w:val="center"/>
        <w:rPr>
          <w:rFonts w:ascii="Times New Roman" w:eastAsia="Times New Roman" w:hAnsi="Times New Roman"/>
          <w:b/>
          <w:sz w:val="28"/>
          <w:szCs w:val="28"/>
        </w:rPr>
      </w:pPr>
    </w:p>
    <w:tbl>
      <w:tblPr>
        <w:tblStyle w:val="a6"/>
        <w:tblpPr w:leftFromText="180" w:rightFromText="180" w:vertAnchor="page" w:horzAnchor="margin" w:tblpY="7050"/>
        <w:tblW w:w="0" w:type="auto"/>
        <w:tblLook w:val="04A0"/>
      </w:tblPr>
      <w:tblGrid>
        <w:gridCol w:w="884"/>
        <w:gridCol w:w="2372"/>
        <w:gridCol w:w="1392"/>
        <w:gridCol w:w="1380"/>
        <w:gridCol w:w="1764"/>
      </w:tblGrid>
      <w:tr w:rsidR="00E41F46" w:rsidRPr="00A11646" w:rsidTr="00E41F46">
        <w:trPr>
          <w:trHeight w:val="128"/>
        </w:trPr>
        <w:tc>
          <w:tcPr>
            <w:tcW w:w="3256" w:type="dxa"/>
            <w:gridSpan w:val="2"/>
            <w:vMerge w:val="restart"/>
          </w:tcPr>
          <w:p w:rsidR="00E41F46" w:rsidRPr="00A11646" w:rsidRDefault="00E41F46" w:rsidP="00E41F46">
            <w:pPr>
              <w:jc w:val="center"/>
              <w:rPr>
                <w:rFonts w:ascii="Times New Roman" w:eastAsia="Times New Roman" w:hAnsi="Times New Roman"/>
                <w:sz w:val="28"/>
                <w:szCs w:val="28"/>
                <w:lang w:val="en-US"/>
              </w:rPr>
            </w:pPr>
            <w:bookmarkStart w:id="74" w:name="_Hlk3723215"/>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4536" w:type="dxa"/>
            <w:gridSpan w:val="3"/>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sz w:val="28"/>
                <w:szCs w:val="28"/>
              </w:rPr>
              <w:t>Возраст больного ММ</w:t>
            </w:r>
          </w:p>
        </w:tc>
      </w:tr>
      <w:tr w:rsidR="00E41F46" w:rsidRPr="00A11646" w:rsidTr="00E41F46">
        <w:trPr>
          <w:trHeight w:val="143"/>
        </w:trPr>
        <w:tc>
          <w:tcPr>
            <w:tcW w:w="3256" w:type="dxa"/>
            <w:gridSpan w:val="2"/>
            <w:vMerge/>
          </w:tcPr>
          <w:p w:rsidR="00E41F46" w:rsidRPr="00A11646" w:rsidRDefault="00E41F46" w:rsidP="00E41F46">
            <w:pPr>
              <w:jc w:val="center"/>
              <w:rPr>
                <w:rFonts w:ascii="Times New Roman" w:eastAsia="Times New Roman" w:hAnsi="Times New Roman"/>
                <w:sz w:val="28"/>
                <w:szCs w:val="28"/>
                <w:lang w:val="uz-Cyrl-UZ"/>
              </w:rPr>
            </w:pPr>
          </w:p>
        </w:tc>
        <w:tc>
          <w:tcPr>
            <w:tcW w:w="1392" w:type="dxa"/>
          </w:tcPr>
          <w:p w:rsidR="00E41F46" w:rsidRPr="00A11646" w:rsidRDefault="00E41F46" w:rsidP="00E41F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M</w:t>
            </w:r>
          </w:p>
        </w:tc>
        <w:tc>
          <w:tcPr>
            <w:tcW w:w="1380" w:type="dxa"/>
          </w:tcPr>
          <w:p w:rsidR="00E41F46" w:rsidRPr="00A11646" w:rsidRDefault="00E41F46" w:rsidP="00E41F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m</w:t>
            </w:r>
          </w:p>
        </w:tc>
        <w:tc>
          <w:tcPr>
            <w:tcW w:w="1764" w:type="dxa"/>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sz w:val="28"/>
                <w:szCs w:val="28"/>
              </w:rPr>
              <w:t>ϭ</w:t>
            </w:r>
          </w:p>
        </w:tc>
      </w:tr>
      <w:tr w:rsidR="00E41F46" w:rsidRPr="00A11646" w:rsidTr="00E41F46">
        <w:tc>
          <w:tcPr>
            <w:tcW w:w="884" w:type="dxa"/>
            <w:vMerge w:val="restart"/>
          </w:tcPr>
          <w:p w:rsidR="00E41F46" w:rsidRPr="00A11646" w:rsidRDefault="00E41F46" w:rsidP="00E41F46">
            <w:pPr>
              <w:jc w:val="center"/>
              <w:rPr>
                <w:rFonts w:ascii="Times New Roman" w:eastAsia="Times New Roman" w:hAnsi="Times New Roman"/>
                <w:sz w:val="28"/>
                <w:szCs w:val="28"/>
                <w:lang w:val="en-US"/>
              </w:rPr>
            </w:pPr>
            <w:bookmarkStart w:id="75" w:name="_Hlk3723171"/>
          </w:p>
          <w:p w:rsidR="00E41F46" w:rsidRPr="00A11646" w:rsidRDefault="00E41F46" w:rsidP="00E41F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2372" w:type="dxa"/>
            <w:tcBorders>
              <w:bottom w:val="single" w:sz="4" w:space="0" w:color="auto"/>
            </w:tcBorders>
          </w:tcPr>
          <w:p w:rsidR="00E41F46" w:rsidRPr="00A11646" w:rsidRDefault="00E41F46" w:rsidP="00E41F46">
            <w:pPr>
              <w:jc w:val="center"/>
              <w:rPr>
                <w:rFonts w:ascii="Times New Roman" w:eastAsia="Times New Roman" w:hAnsi="Times New Roman"/>
                <w:sz w:val="28"/>
                <w:szCs w:val="28"/>
              </w:rPr>
            </w:pPr>
            <w:bookmarkStart w:id="76" w:name="_Hlk5654859"/>
            <w:r w:rsidRPr="00A11646">
              <w:rPr>
                <w:rFonts w:ascii="Times New Roman" w:eastAsia="Times New Roman" w:hAnsi="Times New Roman"/>
                <w:sz w:val="28"/>
                <w:szCs w:val="28"/>
              </w:rPr>
              <w:t>κ</w:t>
            </w:r>
            <w:bookmarkEnd w:id="76"/>
          </w:p>
        </w:tc>
        <w:tc>
          <w:tcPr>
            <w:tcW w:w="1392" w:type="dxa"/>
            <w:tcBorders>
              <w:top w:val="nil"/>
              <w:left w:val="nil"/>
              <w:bottom w:val="single" w:sz="4" w:space="0" w:color="auto"/>
              <w:right w:val="nil"/>
            </w:tcBorders>
            <w:shd w:val="clear" w:color="auto" w:fill="auto"/>
            <w:vAlign w:val="center"/>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56,04</w:t>
            </w:r>
          </w:p>
        </w:tc>
        <w:tc>
          <w:tcPr>
            <w:tcW w:w="1380" w:type="dxa"/>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2,04 </w:t>
            </w:r>
          </w:p>
        </w:tc>
        <w:tc>
          <w:tcPr>
            <w:tcW w:w="1764" w:type="dxa"/>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9,1</w:t>
            </w:r>
          </w:p>
        </w:tc>
      </w:tr>
      <w:bookmarkEnd w:id="75"/>
      <w:tr w:rsidR="00E41F46" w:rsidRPr="00A11646" w:rsidTr="00E41F46">
        <w:tc>
          <w:tcPr>
            <w:tcW w:w="884" w:type="dxa"/>
            <w:vMerge/>
          </w:tcPr>
          <w:p w:rsidR="00E41F46" w:rsidRPr="00A11646" w:rsidRDefault="00E41F46" w:rsidP="00E41F46">
            <w:pPr>
              <w:jc w:val="center"/>
              <w:rPr>
                <w:rFonts w:ascii="Times New Roman" w:eastAsia="Times New Roman" w:hAnsi="Times New Roman"/>
                <w:sz w:val="28"/>
                <w:szCs w:val="28"/>
              </w:rPr>
            </w:pPr>
          </w:p>
        </w:tc>
        <w:tc>
          <w:tcPr>
            <w:tcW w:w="2372" w:type="dxa"/>
            <w:tcBorders>
              <w:bottom w:val="single" w:sz="4" w:space="0" w:color="auto"/>
            </w:tcBorders>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392" w:type="dxa"/>
            <w:tcBorders>
              <w:top w:val="nil"/>
              <w:left w:val="nil"/>
              <w:bottom w:val="single" w:sz="4" w:space="0" w:color="auto"/>
              <w:right w:val="nil"/>
            </w:tcBorders>
            <w:shd w:val="clear" w:color="auto" w:fill="auto"/>
            <w:vAlign w:val="bottom"/>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52,7</w:t>
            </w:r>
          </w:p>
        </w:tc>
        <w:tc>
          <w:tcPr>
            <w:tcW w:w="1380" w:type="dxa"/>
            <w:tcBorders>
              <w:bottom w:val="single" w:sz="4" w:space="0" w:color="auto"/>
            </w:tcBorders>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2,8 </w:t>
            </w:r>
          </w:p>
        </w:tc>
        <w:tc>
          <w:tcPr>
            <w:tcW w:w="1764" w:type="dxa"/>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12,5</w:t>
            </w:r>
          </w:p>
        </w:tc>
      </w:tr>
      <w:tr w:rsidR="00E41F46" w:rsidRPr="00A11646" w:rsidTr="00E41F46">
        <w:tc>
          <w:tcPr>
            <w:tcW w:w="884" w:type="dxa"/>
            <w:vMerge w:val="restart"/>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2372" w:type="dxa"/>
            <w:tcBorders>
              <w:bottom w:val="single" w:sz="4" w:space="0" w:color="auto"/>
            </w:tcBorders>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392" w:type="dxa"/>
            <w:tcBorders>
              <w:top w:val="nil"/>
              <w:left w:val="nil"/>
              <w:bottom w:val="single" w:sz="4" w:space="0" w:color="auto"/>
              <w:right w:val="nil"/>
            </w:tcBorders>
            <w:shd w:val="clear" w:color="auto" w:fill="auto"/>
            <w:vAlign w:val="bottom"/>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50,6</w:t>
            </w:r>
          </w:p>
        </w:tc>
        <w:tc>
          <w:tcPr>
            <w:tcW w:w="1380" w:type="dxa"/>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2,3</w:t>
            </w:r>
          </w:p>
        </w:tc>
        <w:tc>
          <w:tcPr>
            <w:tcW w:w="1764" w:type="dxa"/>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10,1</w:t>
            </w:r>
          </w:p>
        </w:tc>
      </w:tr>
      <w:tr w:rsidR="00E41F46" w:rsidRPr="00A11646" w:rsidTr="00E41F46">
        <w:tc>
          <w:tcPr>
            <w:tcW w:w="884" w:type="dxa"/>
            <w:vMerge/>
          </w:tcPr>
          <w:p w:rsidR="00E41F46" w:rsidRPr="00A11646" w:rsidRDefault="00E41F46" w:rsidP="00E41F46">
            <w:pPr>
              <w:jc w:val="center"/>
              <w:rPr>
                <w:rFonts w:ascii="Times New Roman" w:eastAsia="Times New Roman" w:hAnsi="Times New Roman"/>
                <w:sz w:val="28"/>
                <w:szCs w:val="28"/>
              </w:rPr>
            </w:pPr>
          </w:p>
        </w:tc>
        <w:tc>
          <w:tcPr>
            <w:tcW w:w="2372" w:type="dxa"/>
          </w:tcPr>
          <w:p w:rsidR="00E41F46" w:rsidRPr="00A11646" w:rsidRDefault="00E41F46" w:rsidP="00E41F46">
            <w:pPr>
              <w:jc w:val="center"/>
              <w:rPr>
                <w:rFonts w:ascii="Times New Roman" w:eastAsia="Times New Roman" w:hAnsi="Times New Roman"/>
                <w:sz w:val="28"/>
                <w:szCs w:val="28"/>
              </w:rPr>
            </w:pPr>
            <w:bookmarkStart w:id="77" w:name="_Hlk5654878"/>
            <w:r w:rsidRPr="00A11646">
              <w:rPr>
                <w:rFonts w:ascii="Times New Roman" w:eastAsia="Times New Roman" w:hAnsi="Times New Roman"/>
                <w:sz w:val="28"/>
                <w:szCs w:val="28"/>
              </w:rPr>
              <w:t>λ</w:t>
            </w:r>
            <w:bookmarkEnd w:id="77"/>
          </w:p>
        </w:tc>
        <w:tc>
          <w:tcPr>
            <w:tcW w:w="1392" w:type="dxa"/>
            <w:tcBorders>
              <w:top w:val="nil"/>
              <w:left w:val="nil"/>
              <w:bottom w:val="single" w:sz="4" w:space="0" w:color="auto"/>
              <w:right w:val="nil"/>
            </w:tcBorders>
            <w:shd w:val="clear" w:color="auto" w:fill="auto"/>
            <w:vAlign w:val="bottom"/>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57,9</w:t>
            </w:r>
          </w:p>
        </w:tc>
        <w:tc>
          <w:tcPr>
            <w:tcW w:w="1380" w:type="dxa"/>
            <w:tcBorders>
              <w:bottom w:val="single" w:sz="4" w:space="0" w:color="auto"/>
            </w:tcBorders>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1,8</w:t>
            </w:r>
          </w:p>
        </w:tc>
        <w:tc>
          <w:tcPr>
            <w:tcW w:w="1764" w:type="dxa"/>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8,2</w:t>
            </w:r>
          </w:p>
        </w:tc>
      </w:tr>
      <w:tr w:rsidR="00E41F46" w:rsidRPr="00A11646" w:rsidTr="00E41F46">
        <w:tc>
          <w:tcPr>
            <w:tcW w:w="3256" w:type="dxa"/>
            <w:gridSpan w:val="2"/>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sz w:val="28"/>
                <w:szCs w:val="28"/>
              </w:rPr>
              <w:t>Редкие типы</w:t>
            </w:r>
          </w:p>
        </w:tc>
        <w:tc>
          <w:tcPr>
            <w:tcW w:w="1392" w:type="dxa"/>
            <w:tcBorders>
              <w:top w:val="single" w:sz="4" w:space="0" w:color="auto"/>
              <w:left w:val="nil"/>
              <w:bottom w:val="single" w:sz="4" w:space="0" w:color="auto"/>
              <w:right w:val="single" w:sz="4" w:space="0" w:color="auto"/>
            </w:tcBorders>
            <w:shd w:val="clear" w:color="auto" w:fill="auto"/>
            <w:vAlign w:val="bottom"/>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57,5</w:t>
            </w:r>
          </w:p>
        </w:tc>
        <w:tc>
          <w:tcPr>
            <w:tcW w:w="1380" w:type="dxa"/>
            <w:tcBorders>
              <w:top w:val="single" w:sz="4" w:space="0" w:color="auto"/>
              <w:left w:val="single" w:sz="4" w:space="0" w:color="auto"/>
              <w:bottom w:val="single" w:sz="4" w:space="0" w:color="auto"/>
              <w:right w:val="nil"/>
            </w:tcBorders>
            <w:shd w:val="clear" w:color="auto" w:fill="auto"/>
            <w:vAlign w:val="bottom"/>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2,7</w:t>
            </w:r>
          </w:p>
        </w:tc>
        <w:tc>
          <w:tcPr>
            <w:tcW w:w="1764" w:type="dxa"/>
            <w:tcBorders>
              <w:bottom w:val="single" w:sz="4" w:space="0" w:color="auto"/>
            </w:tcBorders>
          </w:tcPr>
          <w:p w:rsidR="00E41F46" w:rsidRPr="00A11646" w:rsidRDefault="00E41F46" w:rsidP="00E41F46">
            <w:pPr>
              <w:jc w:val="center"/>
              <w:rPr>
                <w:rFonts w:ascii="Times New Roman" w:eastAsia="Times New Roman" w:hAnsi="Times New Roman"/>
                <w:sz w:val="28"/>
                <w:szCs w:val="28"/>
              </w:rPr>
            </w:pPr>
            <w:r w:rsidRPr="00A11646">
              <w:rPr>
                <w:rFonts w:ascii="Times New Roman" w:eastAsia="Times New Roman" w:hAnsi="Times New Roman"/>
                <w:bCs/>
                <w:sz w:val="28"/>
                <w:szCs w:val="28"/>
              </w:rPr>
              <w:t>11,9</w:t>
            </w:r>
          </w:p>
        </w:tc>
      </w:tr>
      <w:bookmarkEnd w:id="74"/>
    </w:tbl>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E41F46" w:rsidRDefault="00E41F46" w:rsidP="00C328C9">
      <w:pPr>
        <w:tabs>
          <w:tab w:val="left" w:pos="200"/>
        </w:tabs>
        <w:spacing w:after="0" w:line="240" w:lineRule="auto"/>
        <w:jc w:val="center"/>
        <w:rPr>
          <w:rFonts w:ascii="Times New Roman" w:eastAsia="Times New Roman" w:hAnsi="Times New Roman"/>
          <w:b/>
          <w:sz w:val="28"/>
          <w:szCs w:val="28"/>
        </w:rPr>
      </w:pPr>
    </w:p>
    <w:p w:rsidR="00C328C9" w:rsidRPr="00A11646" w:rsidRDefault="00C328C9" w:rsidP="00E41F46">
      <w:pPr>
        <w:tabs>
          <w:tab w:val="left" w:pos="200"/>
        </w:tabs>
        <w:spacing w:after="0" w:line="240" w:lineRule="auto"/>
        <w:ind w:firstLine="567"/>
        <w:rPr>
          <w:rFonts w:ascii="Times New Roman" w:eastAsia="Times New Roman" w:hAnsi="Times New Roman"/>
          <w:b/>
          <w:sz w:val="28"/>
          <w:szCs w:val="28"/>
        </w:rPr>
      </w:pPr>
    </w:p>
    <w:p w:rsidR="00C328C9" w:rsidRPr="00A11646" w:rsidRDefault="00C328C9" w:rsidP="00C328C9">
      <w:pPr>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lang w:val="uz-Cyrl-UZ"/>
        </w:rPr>
        <w:t>Анализ распределения иммунохимических вариантов в зависимости от половой принадлежности свидетельствует о большей встречаемости</w:t>
      </w:r>
      <w:r w:rsidR="00384F4E">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κ и IgAκ среди лиц женского пола. В частности, частота IgGκ среди женщин составила 25,0%, среди мужчин </w:t>
      </w:r>
      <w:r w:rsidR="007C23AD">
        <w:rPr>
          <w:rFonts w:ascii="Times New Roman" w:eastAsia="Times New Roman" w:hAnsi="Times New Roman"/>
          <w:sz w:val="28"/>
          <w:szCs w:val="28"/>
        </w:rPr>
        <w:t xml:space="preserve"> </w:t>
      </w:r>
      <w:r w:rsidRPr="00A11646">
        <w:rPr>
          <w:rFonts w:ascii="Times New Roman" w:eastAsia="Times New Roman" w:hAnsi="Times New Roman"/>
          <w:sz w:val="28"/>
          <w:szCs w:val="28"/>
        </w:rPr>
        <w:t xml:space="preserve">20,2%. В то же время  частота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κ  среди женщин регистрировалась в </w:t>
      </w:r>
      <w:r w:rsidR="00726031">
        <w:rPr>
          <w:rFonts w:ascii="Times New Roman" w:eastAsia="Times New Roman" w:hAnsi="Times New Roman"/>
          <w:sz w:val="28"/>
          <w:szCs w:val="28"/>
          <w:lang w:val="uz-Cyrl-UZ"/>
        </w:rPr>
        <w:t>4,0</w:t>
      </w:r>
      <w:r w:rsidRPr="00A11646">
        <w:rPr>
          <w:rFonts w:ascii="Times New Roman" w:eastAsia="Times New Roman" w:hAnsi="Times New Roman"/>
          <w:sz w:val="28"/>
          <w:szCs w:val="28"/>
        </w:rPr>
        <w:t xml:space="preserve">%, а среди мужчин в </w:t>
      </w:r>
      <w:r w:rsidR="00726031" w:rsidRPr="00A11646">
        <w:rPr>
          <w:rFonts w:ascii="Times New Roman" w:eastAsia="Times New Roman" w:hAnsi="Times New Roman"/>
          <w:sz w:val="28"/>
          <w:szCs w:val="28"/>
        </w:rPr>
        <w:t>2,4</w:t>
      </w:r>
      <w:r w:rsidRPr="00A11646">
        <w:rPr>
          <w:rFonts w:ascii="Times New Roman" w:eastAsia="Times New Roman" w:hAnsi="Times New Roman"/>
          <w:sz w:val="28"/>
          <w:szCs w:val="28"/>
        </w:rPr>
        <w:t>% случаях (табл. 3.1.3.).</w:t>
      </w:r>
    </w:p>
    <w:p w:rsidR="007C23AD" w:rsidRDefault="007C23AD" w:rsidP="00C328C9">
      <w:pPr>
        <w:spacing w:after="0" w:line="360" w:lineRule="auto"/>
        <w:ind w:firstLine="708"/>
        <w:jc w:val="right"/>
        <w:rPr>
          <w:rFonts w:ascii="Times New Roman" w:eastAsia="Times New Roman" w:hAnsi="Times New Roman"/>
          <w:b/>
          <w:sz w:val="28"/>
          <w:szCs w:val="28"/>
        </w:rPr>
      </w:pPr>
    </w:p>
    <w:p w:rsidR="007C23AD" w:rsidRDefault="007C23AD" w:rsidP="00C328C9">
      <w:pPr>
        <w:spacing w:after="0" w:line="360" w:lineRule="auto"/>
        <w:ind w:firstLine="708"/>
        <w:jc w:val="right"/>
        <w:rPr>
          <w:rFonts w:ascii="Times New Roman" w:eastAsia="Times New Roman" w:hAnsi="Times New Roman"/>
          <w:b/>
          <w:sz w:val="28"/>
          <w:szCs w:val="28"/>
        </w:rPr>
      </w:pPr>
    </w:p>
    <w:p w:rsidR="007C23AD" w:rsidRDefault="007C23AD" w:rsidP="00C328C9">
      <w:pPr>
        <w:spacing w:after="0" w:line="360" w:lineRule="auto"/>
        <w:ind w:firstLine="708"/>
        <w:jc w:val="right"/>
        <w:rPr>
          <w:rFonts w:ascii="Times New Roman" w:eastAsia="Times New Roman" w:hAnsi="Times New Roman"/>
          <w:b/>
          <w:sz w:val="28"/>
          <w:szCs w:val="28"/>
        </w:rPr>
      </w:pPr>
    </w:p>
    <w:p w:rsidR="007C23AD" w:rsidRDefault="007C23AD" w:rsidP="00C328C9">
      <w:pPr>
        <w:spacing w:after="0" w:line="360" w:lineRule="auto"/>
        <w:ind w:firstLine="708"/>
        <w:jc w:val="right"/>
        <w:rPr>
          <w:rFonts w:ascii="Times New Roman" w:eastAsia="Times New Roman" w:hAnsi="Times New Roman"/>
          <w:b/>
          <w:sz w:val="28"/>
          <w:szCs w:val="28"/>
        </w:rPr>
      </w:pPr>
    </w:p>
    <w:p w:rsidR="007C23AD" w:rsidRDefault="007C23AD" w:rsidP="00C328C9">
      <w:pPr>
        <w:spacing w:after="0" w:line="360" w:lineRule="auto"/>
        <w:ind w:firstLine="708"/>
        <w:jc w:val="right"/>
        <w:rPr>
          <w:rFonts w:ascii="Times New Roman" w:eastAsia="Times New Roman" w:hAnsi="Times New Roman"/>
          <w:b/>
          <w:sz w:val="28"/>
          <w:szCs w:val="28"/>
        </w:rPr>
      </w:pPr>
    </w:p>
    <w:p w:rsidR="007C23AD" w:rsidRDefault="007C23AD" w:rsidP="00C328C9">
      <w:pPr>
        <w:spacing w:after="0" w:line="360" w:lineRule="auto"/>
        <w:ind w:firstLine="708"/>
        <w:jc w:val="right"/>
        <w:rPr>
          <w:rFonts w:ascii="Times New Roman" w:eastAsia="Times New Roman" w:hAnsi="Times New Roman"/>
          <w:b/>
          <w:sz w:val="28"/>
          <w:szCs w:val="28"/>
        </w:rPr>
      </w:pPr>
    </w:p>
    <w:p w:rsidR="00C328C9" w:rsidRPr="00A11646" w:rsidRDefault="00C328C9" w:rsidP="00C328C9">
      <w:pPr>
        <w:spacing w:after="0" w:line="360" w:lineRule="auto"/>
        <w:ind w:firstLine="708"/>
        <w:jc w:val="right"/>
        <w:rPr>
          <w:rFonts w:ascii="Times New Roman" w:eastAsia="Times New Roman" w:hAnsi="Times New Roman"/>
          <w:b/>
          <w:sz w:val="28"/>
          <w:szCs w:val="28"/>
          <w:lang w:val="uz-Cyrl-UZ"/>
        </w:rPr>
      </w:pPr>
      <w:r w:rsidRPr="00A11646">
        <w:rPr>
          <w:rFonts w:ascii="Times New Roman" w:eastAsia="Times New Roman" w:hAnsi="Times New Roman"/>
          <w:b/>
          <w:sz w:val="28"/>
          <w:szCs w:val="28"/>
        </w:rPr>
        <w:lastRenderedPageBreak/>
        <w:t>Таблица 3.1.3.</w:t>
      </w:r>
    </w:p>
    <w:p w:rsidR="00C328C9" w:rsidRPr="00A11646" w:rsidRDefault="00C328C9" w:rsidP="00C328C9">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Распределение типов иммуноглобулинов в зависимости от пола</w:t>
      </w:r>
    </w:p>
    <w:p w:rsidR="00C328C9" w:rsidRPr="00A11646" w:rsidRDefault="00C328C9" w:rsidP="00C328C9">
      <w:pPr>
        <w:spacing w:after="0" w:line="240" w:lineRule="auto"/>
        <w:jc w:val="center"/>
        <w:rPr>
          <w:rFonts w:ascii="Times New Roman" w:eastAsia="Times New Roman" w:hAnsi="Times New Roman"/>
          <w:sz w:val="28"/>
          <w:szCs w:val="28"/>
        </w:rPr>
      </w:pPr>
    </w:p>
    <w:tbl>
      <w:tblPr>
        <w:tblStyle w:val="a6"/>
        <w:tblW w:w="0" w:type="auto"/>
        <w:tblLook w:val="04A0"/>
      </w:tblPr>
      <w:tblGrid>
        <w:gridCol w:w="879"/>
        <w:gridCol w:w="980"/>
        <w:gridCol w:w="1930"/>
        <w:gridCol w:w="1784"/>
        <w:gridCol w:w="2025"/>
        <w:gridCol w:w="1689"/>
      </w:tblGrid>
      <w:tr w:rsidR="00C328C9" w:rsidRPr="00A11646" w:rsidTr="00C328C9">
        <w:trPr>
          <w:trHeight w:val="128"/>
        </w:trPr>
        <w:tc>
          <w:tcPr>
            <w:tcW w:w="1867" w:type="dxa"/>
            <w:gridSpan w:val="2"/>
            <w:vMerge w:val="restart"/>
          </w:tcPr>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7478" w:type="dxa"/>
            <w:gridSpan w:val="4"/>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lang w:val="uz-Cyrl-UZ"/>
              </w:rPr>
              <w:t>Пол</w:t>
            </w:r>
            <w:r w:rsidRPr="00A11646">
              <w:rPr>
                <w:rFonts w:ascii="Times New Roman" w:eastAsia="Times New Roman" w:hAnsi="Times New Roman"/>
                <w:sz w:val="28"/>
                <w:szCs w:val="28"/>
              </w:rPr>
              <w:t xml:space="preserve"> больного ММ</w:t>
            </w:r>
          </w:p>
        </w:tc>
      </w:tr>
      <w:tr w:rsidR="00C328C9" w:rsidRPr="00A11646" w:rsidTr="00C328C9">
        <w:trPr>
          <w:trHeight w:val="422"/>
        </w:trPr>
        <w:tc>
          <w:tcPr>
            <w:tcW w:w="1867" w:type="dxa"/>
            <w:gridSpan w:val="2"/>
            <w:vMerge/>
          </w:tcPr>
          <w:p w:rsidR="00C328C9" w:rsidRPr="00A11646" w:rsidRDefault="00C328C9" w:rsidP="00C328C9">
            <w:pPr>
              <w:jc w:val="center"/>
              <w:rPr>
                <w:rFonts w:ascii="Times New Roman" w:eastAsia="Times New Roman" w:hAnsi="Times New Roman"/>
                <w:sz w:val="28"/>
                <w:szCs w:val="28"/>
                <w:lang w:val="uz-Cyrl-UZ"/>
              </w:rPr>
            </w:pPr>
          </w:p>
        </w:tc>
        <w:tc>
          <w:tcPr>
            <w:tcW w:w="3739" w:type="dxa"/>
            <w:gridSpan w:val="2"/>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муж</w:t>
            </w:r>
          </w:p>
          <w:p w:rsidR="00C328C9" w:rsidRPr="00A11646" w:rsidRDefault="00C328C9" w:rsidP="00C328C9">
            <w:pPr>
              <w:jc w:val="center"/>
              <w:rPr>
                <w:rFonts w:ascii="Times New Roman" w:eastAsia="Times New Roman" w:hAnsi="Times New Roman"/>
                <w:sz w:val="28"/>
                <w:szCs w:val="28"/>
                <w:lang w:val="uz-Cyrl-UZ"/>
              </w:rPr>
            </w:pPr>
          </w:p>
        </w:tc>
        <w:tc>
          <w:tcPr>
            <w:tcW w:w="3739" w:type="dxa"/>
            <w:gridSpan w:val="2"/>
            <w:tcBorders>
              <w:right w:val="single" w:sz="4" w:space="0" w:color="auto"/>
            </w:tcBorders>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жен</w:t>
            </w:r>
          </w:p>
          <w:p w:rsidR="00C328C9" w:rsidRPr="00A11646" w:rsidRDefault="00C328C9" w:rsidP="00C328C9">
            <w:pPr>
              <w:jc w:val="center"/>
              <w:rPr>
                <w:rFonts w:ascii="Times New Roman" w:eastAsia="Times New Roman" w:hAnsi="Times New Roman"/>
                <w:sz w:val="28"/>
                <w:szCs w:val="28"/>
                <w:lang w:val="uz-Cyrl-UZ"/>
              </w:rPr>
            </w:pPr>
          </w:p>
        </w:tc>
      </w:tr>
      <w:tr w:rsidR="00C328C9" w:rsidRPr="00A11646" w:rsidTr="00C328C9">
        <w:trPr>
          <w:trHeight w:val="305"/>
        </w:trPr>
        <w:tc>
          <w:tcPr>
            <w:tcW w:w="1867" w:type="dxa"/>
            <w:gridSpan w:val="2"/>
            <w:vMerge/>
          </w:tcPr>
          <w:p w:rsidR="00C328C9" w:rsidRPr="00A11646" w:rsidRDefault="00C328C9" w:rsidP="00C328C9">
            <w:pPr>
              <w:jc w:val="center"/>
              <w:rPr>
                <w:rFonts w:ascii="Times New Roman" w:eastAsia="Times New Roman" w:hAnsi="Times New Roman"/>
                <w:sz w:val="28"/>
                <w:szCs w:val="28"/>
                <w:lang w:val="uz-Cyrl-UZ"/>
              </w:rPr>
            </w:pPr>
          </w:p>
        </w:tc>
        <w:tc>
          <w:tcPr>
            <w:tcW w:w="1944"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абс</w:t>
            </w:r>
          </w:p>
        </w:tc>
        <w:tc>
          <w:tcPr>
            <w:tcW w:w="1795"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w:t>
            </w:r>
          </w:p>
        </w:tc>
        <w:tc>
          <w:tcPr>
            <w:tcW w:w="2040" w:type="dxa"/>
            <w:tcBorders>
              <w:right w:val="single" w:sz="4" w:space="0" w:color="auto"/>
            </w:tcBorders>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абс</w:t>
            </w:r>
          </w:p>
        </w:tc>
        <w:tc>
          <w:tcPr>
            <w:tcW w:w="1699" w:type="dxa"/>
            <w:tcBorders>
              <w:right w:val="single" w:sz="4" w:space="0" w:color="auto"/>
            </w:tcBorders>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w:t>
            </w:r>
          </w:p>
        </w:tc>
      </w:tr>
      <w:tr w:rsidR="00C328C9" w:rsidRPr="00A11646" w:rsidTr="00C328C9">
        <w:trPr>
          <w:trHeight w:val="254"/>
        </w:trPr>
        <w:tc>
          <w:tcPr>
            <w:tcW w:w="882" w:type="dxa"/>
            <w:vMerge w:val="restart"/>
          </w:tcPr>
          <w:p w:rsidR="00C328C9" w:rsidRPr="00A11646" w:rsidRDefault="00C328C9" w:rsidP="00C328C9">
            <w:pPr>
              <w:jc w:val="center"/>
              <w:rPr>
                <w:rFonts w:ascii="Times New Roman" w:eastAsia="Times New Roman" w:hAnsi="Times New Roman"/>
                <w:sz w:val="28"/>
                <w:szCs w:val="28"/>
                <w:lang w:val="en-US"/>
              </w:rPr>
            </w:pPr>
          </w:p>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985" w:type="dxa"/>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944"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25</w:t>
            </w:r>
          </w:p>
        </w:tc>
        <w:tc>
          <w:tcPr>
            <w:tcW w:w="1795"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20,2</w:t>
            </w:r>
          </w:p>
        </w:tc>
        <w:tc>
          <w:tcPr>
            <w:tcW w:w="2040"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31</w:t>
            </w:r>
          </w:p>
          <w:p w:rsidR="00C328C9" w:rsidRPr="00A11646" w:rsidRDefault="00C328C9" w:rsidP="00C328C9">
            <w:pPr>
              <w:jc w:val="center"/>
              <w:rPr>
                <w:rFonts w:ascii="Times New Roman" w:eastAsia="Times New Roman" w:hAnsi="Times New Roman"/>
                <w:sz w:val="28"/>
                <w:szCs w:val="28"/>
                <w:lang w:val="en-US"/>
              </w:rPr>
            </w:pPr>
          </w:p>
        </w:tc>
        <w:tc>
          <w:tcPr>
            <w:tcW w:w="1699" w:type="dxa"/>
          </w:tcPr>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25</w:t>
            </w:r>
          </w:p>
        </w:tc>
      </w:tr>
      <w:tr w:rsidR="00C328C9" w:rsidRPr="00A11646" w:rsidTr="00C328C9">
        <w:tc>
          <w:tcPr>
            <w:tcW w:w="882" w:type="dxa"/>
            <w:vMerge/>
          </w:tcPr>
          <w:p w:rsidR="00C328C9" w:rsidRPr="00A11646" w:rsidRDefault="00C328C9" w:rsidP="00C328C9">
            <w:pPr>
              <w:jc w:val="center"/>
              <w:rPr>
                <w:rFonts w:ascii="Times New Roman" w:eastAsia="Times New Roman" w:hAnsi="Times New Roman"/>
                <w:sz w:val="28"/>
                <w:szCs w:val="28"/>
              </w:rPr>
            </w:pPr>
          </w:p>
        </w:tc>
        <w:tc>
          <w:tcPr>
            <w:tcW w:w="985" w:type="dxa"/>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944"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14</w:t>
            </w:r>
          </w:p>
        </w:tc>
        <w:tc>
          <w:tcPr>
            <w:tcW w:w="1795"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11,3</w:t>
            </w:r>
          </w:p>
        </w:tc>
        <w:tc>
          <w:tcPr>
            <w:tcW w:w="2040"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12</w:t>
            </w:r>
          </w:p>
        </w:tc>
        <w:tc>
          <w:tcPr>
            <w:tcW w:w="1699"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9,7</w:t>
            </w:r>
          </w:p>
          <w:p w:rsidR="00C328C9" w:rsidRPr="00A11646" w:rsidRDefault="00C328C9" w:rsidP="00C328C9">
            <w:pPr>
              <w:jc w:val="center"/>
              <w:rPr>
                <w:rFonts w:ascii="Times New Roman" w:eastAsia="Times New Roman" w:hAnsi="Times New Roman"/>
                <w:sz w:val="28"/>
                <w:szCs w:val="28"/>
              </w:rPr>
            </w:pPr>
          </w:p>
        </w:tc>
      </w:tr>
      <w:tr w:rsidR="00C328C9" w:rsidRPr="00A11646" w:rsidTr="00C328C9">
        <w:tc>
          <w:tcPr>
            <w:tcW w:w="882" w:type="dxa"/>
            <w:vMerge w:val="restart"/>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985" w:type="dxa"/>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944"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3</w:t>
            </w:r>
          </w:p>
        </w:tc>
        <w:tc>
          <w:tcPr>
            <w:tcW w:w="1795"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2,4</w:t>
            </w:r>
          </w:p>
        </w:tc>
        <w:tc>
          <w:tcPr>
            <w:tcW w:w="2040"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5</w:t>
            </w:r>
          </w:p>
        </w:tc>
        <w:tc>
          <w:tcPr>
            <w:tcW w:w="1699" w:type="dxa"/>
          </w:tcPr>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4,</w:t>
            </w:r>
            <w:r w:rsidRPr="00A11646">
              <w:rPr>
                <w:rFonts w:ascii="Times New Roman" w:eastAsia="Times New Roman" w:hAnsi="Times New Roman"/>
                <w:sz w:val="28"/>
                <w:szCs w:val="28"/>
                <w:lang w:val="en-US"/>
              </w:rPr>
              <w:t>0</w:t>
            </w:r>
          </w:p>
          <w:p w:rsidR="00C328C9" w:rsidRPr="00A11646" w:rsidRDefault="00C328C9" w:rsidP="00C328C9">
            <w:pPr>
              <w:jc w:val="center"/>
              <w:rPr>
                <w:rFonts w:ascii="Times New Roman" w:eastAsia="Times New Roman" w:hAnsi="Times New Roman"/>
                <w:sz w:val="28"/>
                <w:szCs w:val="28"/>
              </w:rPr>
            </w:pPr>
          </w:p>
        </w:tc>
      </w:tr>
      <w:tr w:rsidR="00C328C9" w:rsidRPr="00A11646" w:rsidTr="00C328C9">
        <w:tc>
          <w:tcPr>
            <w:tcW w:w="882" w:type="dxa"/>
            <w:vMerge/>
          </w:tcPr>
          <w:p w:rsidR="00C328C9" w:rsidRPr="00A11646" w:rsidRDefault="00C328C9" w:rsidP="00C328C9">
            <w:pPr>
              <w:jc w:val="center"/>
              <w:rPr>
                <w:rFonts w:ascii="Times New Roman" w:eastAsia="Times New Roman" w:hAnsi="Times New Roman"/>
                <w:sz w:val="28"/>
                <w:szCs w:val="28"/>
              </w:rPr>
            </w:pPr>
          </w:p>
        </w:tc>
        <w:tc>
          <w:tcPr>
            <w:tcW w:w="985" w:type="dxa"/>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944"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8</w:t>
            </w:r>
          </w:p>
        </w:tc>
        <w:tc>
          <w:tcPr>
            <w:tcW w:w="1795"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6,45</w:t>
            </w:r>
          </w:p>
        </w:tc>
        <w:tc>
          <w:tcPr>
            <w:tcW w:w="2040"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6</w:t>
            </w:r>
          </w:p>
          <w:p w:rsidR="00C328C9" w:rsidRPr="00A11646" w:rsidRDefault="00C328C9" w:rsidP="00C328C9">
            <w:pPr>
              <w:jc w:val="center"/>
              <w:rPr>
                <w:rFonts w:ascii="Times New Roman" w:eastAsia="Times New Roman" w:hAnsi="Times New Roman"/>
                <w:sz w:val="28"/>
                <w:szCs w:val="28"/>
              </w:rPr>
            </w:pPr>
          </w:p>
        </w:tc>
        <w:tc>
          <w:tcPr>
            <w:tcW w:w="1699"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4,8</w:t>
            </w:r>
          </w:p>
          <w:p w:rsidR="00C328C9" w:rsidRPr="00A11646" w:rsidRDefault="00C328C9" w:rsidP="00C328C9">
            <w:pPr>
              <w:jc w:val="center"/>
              <w:rPr>
                <w:rFonts w:ascii="Times New Roman" w:eastAsia="Times New Roman" w:hAnsi="Times New Roman"/>
                <w:sz w:val="28"/>
                <w:szCs w:val="28"/>
              </w:rPr>
            </w:pPr>
          </w:p>
        </w:tc>
      </w:tr>
      <w:tr w:rsidR="00C328C9" w:rsidRPr="00A11646" w:rsidTr="00C328C9">
        <w:trPr>
          <w:trHeight w:val="333"/>
        </w:trPr>
        <w:tc>
          <w:tcPr>
            <w:tcW w:w="1867" w:type="dxa"/>
            <w:gridSpan w:val="2"/>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1944"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8</w:t>
            </w:r>
          </w:p>
        </w:tc>
        <w:tc>
          <w:tcPr>
            <w:tcW w:w="1795"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6,45</w:t>
            </w:r>
          </w:p>
        </w:tc>
        <w:tc>
          <w:tcPr>
            <w:tcW w:w="2040"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12</w:t>
            </w:r>
          </w:p>
          <w:p w:rsidR="00C328C9" w:rsidRPr="00A11646" w:rsidRDefault="00C328C9" w:rsidP="00C328C9">
            <w:pPr>
              <w:jc w:val="center"/>
              <w:rPr>
                <w:rFonts w:ascii="Times New Roman" w:eastAsia="Times New Roman" w:hAnsi="Times New Roman"/>
                <w:sz w:val="28"/>
                <w:szCs w:val="28"/>
              </w:rPr>
            </w:pPr>
          </w:p>
        </w:tc>
        <w:tc>
          <w:tcPr>
            <w:tcW w:w="1699"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9,7</w:t>
            </w:r>
          </w:p>
          <w:p w:rsidR="00C328C9" w:rsidRPr="00A11646" w:rsidRDefault="00C328C9" w:rsidP="00C328C9">
            <w:pPr>
              <w:jc w:val="center"/>
              <w:rPr>
                <w:rFonts w:ascii="Times New Roman" w:eastAsia="Times New Roman" w:hAnsi="Times New Roman"/>
                <w:sz w:val="28"/>
                <w:szCs w:val="28"/>
              </w:rPr>
            </w:pPr>
          </w:p>
        </w:tc>
      </w:tr>
      <w:tr w:rsidR="00C328C9" w:rsidRPr="00A11646" w:rsidTr="00C328C9">
        <w:tc>
          <w:tcPr>
            <w:tcW w:w="1867" w:type="dxa"/>
            <w:gridSpan w:val="2"/>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Всего</w:t>
            </w:r>
          </w:p>
        </w:tc>
        <w:tc>
          <w:tcPr>
            <w:tcW w:w="1944"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58</w:t>
            </w:r>
          </w:p>
        </w:tc>
        <w:tc>
          <w:tcPr>
            <w:tcW w:w="1795"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46,8</w:t>
            </w:r>
          </w:p>
        </w:tc>
        <w:tc>
          <w:tcPr>
            <w:tcW w:w="2040"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66</w:t>
            </w:r>
          </w:p>
        </w:tc>
        <w:tc>
          <w:tcPr>
            <w:tcW w:w="1699" w:type="dxa"/>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53,2</w:t>
            </w:r>
          </w:p>
        </w:tc>
      </w:tr>
    </w:tbl>
    <w:p w:rsidR="00C328C9" w:rsidRPr="00A11646" w:rsidRDefault="00C328C9" w:rsidP="00C328C9">
      <w:pPr>
        <w:spacing w:after="0" w:line="240" w:lineRule="auto"/>
        <w:jc w:val="center"/>
        <w:rPr>
          <w:rFonts w:ascii="Times New Roman" w:eastAsia="Times New Roman" w:hAnsi="Times New Roman"/>
          <w:sz w:val="28"/>
          <w:szCs w:val="28"/>
        </w:rPr>
      </w:pPr>
    </w:p>
    <w:p w:rsidR="00C328C9" w:rsidRDefault="00C328C9" w:rsidP="00C328C9">
      <w:pPr>
        <w:spacing w:after="0" w:line="240" w:lineRule="auto"/>
        <w:jc w:val="center"/>
        <w:rPr>
          <w:rFonts w:ascii="Times New Roman" w:eastAsia="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Важным фактом явилось изучение распределения больных по стадии заболевания при вышеуказанных иммунохимических вариантах ММ, которое показало больший процент встречаемости </w:t>
      </w:r>
      <w:r w:rsidRPr="00A11646">
        <w:rPr>
          <w:rFonts w:ascii="Times New Roman" w:hAnsi="Times New Roman"/>
          <w:sz w:val="28"/>
          <w:szCs w:val="28"/>
          <w:lang w:val="en-US"/>
        </w:rPr>
        <w:t>IIA</w:t>
      </w:r>
      <w:r w:rsidRPr="00A11646">
        <w:rPr>
          <w:rFonts w:ascii="Times New Roman" w:hAnsi="Times New Roman"/>
          <w:sz w:val="28"/>
          <w:szCs w:val="28"/>
        </w:rPr>
        <w:t xml:space="preserve"> стадии при варианте </w:t>
      </w:r>
      <w:r w:rsidRPr="00A11646">
        <w:rPr>
          <w:rFonts w:ascii="Times New Roman" w:hAnsi="Times New Roman"/>
          <w:sz w:val="28"/>
          <w:szCs w:val="28"/>
          <w:lang w:val="en-US"/>
        </w:rPr>
        <w:t>IgAκ</w:t>
      </w:r>
      <w:r w:rsidRPr="00A11646">
        <w:rPr>
          <w:rFonts w:ascii="Times New Roman" w:hAnsi="Times New Roman"/>
          <w:sz w:val="28"/>
          <w:szCs w:val="28"/>
        </w:rPr>
        <w:t xml:space="preserve"> (12,5%) и </w:t>
      </w:r>
      <w:r w:rsidRPr="00A11646">
        <w:rPr>
          <w:rFonts w:ascii="Times New Roman" w:hAnsi="Times New Roman"/>
          <w:sz w:val="28"/>
          <w:szCs w:val="28"/>
          <w:lang w:val="en-US"/>
        </w:rPr>
        <w:t>IgGλ</w:t>
      </w:r>
      <w:r w:rsidRPr="00A11646">
        <w:rPr>
          <w:rFonts w:ascii="Times New Roman" w:hAnsi="Times New Roman"/>
          <w:sz w:val="28"/>
          <w:szCs w:val="28"/>
        </w:rPr>
        <w:t xml:space="preserve"> (11,5%), </w:t>
      </w:r>
      <w:r w:rsidRPr="00A11646">
        <w:rPr>
          <w:rFonts w:ascii="Times New Roman" w:hAnsi="Times New Roman"/>
          <w:sz w:val="28"/>
          <w:szCs w:val="28"/>
          <w:lang w:val="en-US"/>
        </w:rPr>
        <w:t>IIB</w:t>
      </w:r>
      <w:r w:rsidRPr="00A11646">
        <w:rPr>
          <w:rFonts w:ascii="Times New Roman" w:hAnsi="Times New Roman"/>
          <w:sz w:val="28"/>
          <w:szCs w:val="28"/>
        </w:rPr>
        <w:t xml:space="preserve"> при </w:t>
      </w:r>
      <w:r w:rsidRPr="00A11646">
        <w:rPr>
          <w:rFonts w:ascii="Times New Roman" w:hAnsi="Times New Roman"/>
          <w:sz w:val="28"/>
          <w:szCs w:val="28"/>
          <w:lang w:val="en-US"/>
        </w:rPr>
        <w:t>IgGλ</w:t>
      </w:r>
      <w:r w:rsidRPr="00A11646">
        <w:rPr>
          <w:rFonts w:ascii="Times New Roman" w:hAnsi="Times New Roman"/>
          <w:sz w:val="28"/>
          <w:szCs w:val="28"/>
        </w:rPr>
        <w:t xml:space="preserve"> (11,5%) и  редких типах иммуноглобулина – 11,5%,  </w:t>
      </w:r>
      <w:r w:rsidRPr="00A11646">
        <w:rPr>
          <w:rFonts w:ascii="Times New Roman" w:hAnsi="Times New Roman"/>
          <w:sz w:val="28"/>
          <w:szCs w:val="28"/>
          <w:lang w:val="en-US"/>
        </w:rPr>
        <w:t>IIIA</w:t>
      </w:r>
      <w:r w:rsidRPr="00A11646">
        <w:rPr>
          <w:rFonts w:ascii="Times New Roman" w:hAnsi="Times New Roman"/>
          <w:sz w:val="28"/>
          <w:szCs w:val="28"/>
        </w:rPr>
        <w:t xml:space="preserve"> при </w:t>
      </w:r>
      <w:r w:rsidRPr="00A11646">
        <w:rPr>
          <w:rFonts w:ascii="Times New Roman" w:hAnsi="Times New Roman"/>
          <w:sz w:val="28"/>
          <w:szCs w:val="28"/>
          <w:lang w:val="en-US"/>
        </w:rPr>
        <w:t>IgAκ</w:t>
      </w:r>
      <w:r w:rsidRPr="00A11646">
        <w:rPr>
          <w:rFonts w:ascii="Times New Roman" w:hAnsi="Times New Roman"/>
          <w:sz w:val="28"/>
          <w:szCs w:val="28"/>
        </w:rPr>
        <w:t xml:space="preserve"> (50,0%), редких типах (45,0%) и </w:t>
      </w:r>
      <w:r w:rsidRPr="00A11646">
        <w:rPr>
          <w:rFonts w:ascii="Times New Roman" w:hAnsi="Times New Roman"/>
          <w:sz w:val="28"/>
          <w:szCs w:val="28"/>
          <w:lang w:val="en-US"/>
        </w:rPr>
        <w:t>IgAλ</w:t>
      </w:r>
      <w:r w:rsidRPr="00A11646">
        <w:rPr>
          <w:rFonts w:ascii="Times New Roman" w:hAnsi="Times New Roman"/>
          <w:sz w:val="28"/>
          <w:szCs w:val="28"/>
        </w:rPr>
        <w:t xml:space="preserve"> (42,9%), </w:t>
      </w:r>
      <w:r w:rsidRPr="00A11646">
        <w:rPr>
          <w:rFonts w:ascii="Times New Roman" w:hAnsi="Times New Roman"/>
          <w:sz w:val="28"/>
          <w:szCs w:val="28"/>
          <w:lang w:val="en-US"/>
        </w:rPr>
        <w:t>IIIB</w:t>
      </w:r>
      <w:r w:rsidRPr="00A11646">
        <w:rPr>
          <w:rFonts w:ascii="Times New Roman" w:hAnsi="Times New Roman"/>
          <w:sz w:val="28"/>
          <w:szCs w:val="28"/>
        </w:rPr>
        <w:t xml:space="preserve"> при </w:t>
      </w:r>
      <w:r w:rsidRPr="00A11646">
        <w:rPr>
          <w:rFonts w:ascii="Times New Roman" w:hAnsi="Times New Roman"/>
          <w:sz w:val="28"/>
          <w:szCs w:val="28"/>
          <w:lang w:val="en-US"/>
        </w:rPr>
        <w:t>IgAλ</w:t>
      </w:r>
      <w:r w:rsidRPr="00A11646">
        <w:rPr>
          <w:rFonts w:ascii="Times New Roman" w:hAnsi="Times New Roman"/>
          <w:sz w:val="28"/>
          <w:szCs w:val="28"/>
        </w:rPr>
        <w:t xml:space="preserve">  (50,0%) и </w:t>
      </w:r>
      <w:r w:rsidRPr="00A11646">
        <w:rPr>
          <w:rFonts w:ascii="Times New Roman" w:hAnsi="Times New Roman"/>
          <w:sz w:val="28"/>
          <w:szCs w:val="28"/>
          <w:lang w:val="en-US"/>
        </w:rPr>
        <w:t>IgGκ</w:t>
      </w:r>
      <w:r w:rsidRPr="00A11646">
        <w:rPr>
          <w:rFonts w:ascii="Times New Roman" w:hAnsi="Times New Roman"/>
          <w:sz w:val="28"/>
          <w:szCs w:val="28"/>
        </w:rPr>
        <w:t xml:space="preserve"> (48,2%) (табл. 3.1.4.).</w:t>
      </w: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92382" w:rsidRDefault="00C92382" w:rsidP="00C328C9">
      <w:pPr>
        <w:autoSpaceDE w:val="0"/>
        <w:autoSpaceDN w:val="0"/>
        <w:adjustRightInd w:val="0"/>
        <w:spacing w:after="0" w:line="360" w:lineRule="auto"/>
        <w:ind w:firstLine="708"/>
        <w:jc w:val="right"/>
        <w:rPr>
          <w:rFonts w:ascii="Times New Roman" w:hAnsi="Times New Roman"/>
          <w:b/>
          <w:sz w:val="28"/>
          <w:szCs w:val="28"/>
        </w:rPr>
      </w:pPr>
    </w:p>
    <w:p w:rsidR="00C328C9" w:rsidRPr="00A11646" w:rsidRDefault="00C328C9" w:rsidP="00C328C9">
      <w:pPr>
        <w:autoSpaceDE w:val="0"/>
        <w:autoSpaceDN w:val="0"/>
        <w:adjustRightInd w:val="0"/>
        <w:spacing w:after="0" w:line="360" w:lineRule="auto"/>
        <w:ind w:firstLine="708"/>
        <w:jc w:val="right"/>
        <w:rPr>
          <w:rFonts w:ascii="Times New Roman" w:hAnsi="Times New Roman"/>
          <w:b/>
          <w:sz w:val="28"/>
          <w:szCs w:val="28"/>
        </w:rPr>
      </w:pPr>
      <w:r w:rsidRPr="00A11646">
        <w:rPr>
          <w:rFonts w:ascii="Times New Roman" w:hAnsi="Times New Roman"/>
          <w:b/>
          <w:sz w:val="28"/>
          <w:szCs w:val="28"/>
        </w:rPr>
        <w:lastRenderedPageBreak/>
        <w:t>Таблица 3.1.4.</w:t>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r w:rsidRPr="00A11646">
        <w:rPr>
          <w:rFonts w:ascii="Times New Roman" w:hAnsi="Times New Roman"/>
          <w:b/>
          <w:sz w:val="28"/>
          <w:szCs w:val="28"/>
        </w:rPr>
        <w:t>Распределение частоты регистрации стадий ММ при иммунохимических вариантах заболевания</w:t>
      </w:r>
    </w:p>
    <w:tbl>
      <w:tblPr>
        <w:tblStyle w:val="a6"/>
        <w:tblW w:w="0" w:type="auto"/>
        <w:tblLook w:val="04A0"/>
      </w:tblPr>
      <w:tblGrid>
        <w:gridCol w:w="1264"/>
        <w:gridCol w:w="709"/>
        <w:gridCol w:w="839"/>
        <w:gridCol w:w="809"/>
        <w:gridCol w:w="879"/>
        <w:gridCol w:w="869"/>
        <w:gridCol w:w="818"/>
        <w:gridCol w:w="842"/>
        <w:gridCol w:w="709"/>
        <w:gridCol w:w="843"/>
        <w:gridCol w:w="706"/>
      </w:tblGrid>
      <w:tr w:rsidR="00C328C9" w:rsidRPr="00A11646" w:rsidTr="00C328C9">
        <w:trPr>
          <w:trHeight w:val="191"/>
        </w:trPr>
        <w:tc>
          <w:tcPr>
            <w:tcW w:w="1270" w:type="dxa"/>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Стадии ММ</w:t>
            </w:r>
          </w:p>
        </w:tc>
        <w:tc>
          <w:tcPr>
            <w:tcW w:w="8075" w:type="dxa"/>
            <w:gridSpan w:val="10"/>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Иммунохимические варианты ММ</w:t>
            </w:r>
          </w:p>
        </w:tc>
      </w:tr>
      <w:tr w:rsidR="00C328C9" w:rsidRPr="00A11646" w:rsidTr="00C328C9">
        <w:trPr>
          <w:trHeight w:val="1249"/>
        </w:trPr>
        <w:tc>
          <w:tcPr>
            <w:tcW w:w="1270"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p>
        </w:tc>
        <w:tc>
          <w:tcPr>
            <w:tcW w:w="1557" w:type="dxa"/>
            <w:gridSpan w:val="2"/>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IgGκ</w:t>
            </w:r>
            <w:r w:rsidRPr="00A11646">
              <w:rPr>
                <w:rFonts w:ascii="Times New Roman" w:hAnsi="Times New Roman"/>
                <w:sz w:val="28"/>
                <w:szCs w:val="28"/>
              </w:rPr>
              <w:t>,</w:t>
            </w:r>
          </w:p>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(n=56)</w:t>
            </w:r>
          </w:p>
        </w:tc>
        <w:tc>
          <w:tcPr>
            <w:tcW w:w="1701" w:type="dxa"/>
            <w:gridSpan w:val="2"/>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IgGλ</w:t>
            </w:r>
            <w:r w:rsidRPr="00A11646">
              <w:rPr>
                <w:rFonts w:ascii="Times New Roman" w:hAnsi="Times New Roman"/>
                <w:sz w:val="28"/>
                <w:szCs w:val="28"/>
              </w:rPr>
              <w:t>,</w:t>
            </w:r>
          </w:p>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(n=</w:t>
            </w:r>
            <w:r w:rsidRPr="00A11646">
              <w:rPr>
                <w:rFonts w:ascii="Times New Roman" w:hAnsi="Times New Roman"/>
                <w:sz w:val="28"/>
                <w:szCs w:val="28"/>
              </w:rPr>
              <w:t>2</w:t>
            </w:r>
            <w:r w:rsidRPr="00A11646">
              <w:rPr>
                <w:rFonts w:ascii="Times New Roman" w:hAnsi="Times New Roman"/>
                <w:sz w:val="28"/>
                <w:szCs w:val="28"/>
                <w:lang w:val="en-US"/>
              </w:rPr>
              <w:t>6)</w:t>
            </w:r>
          </w:p>
        </w:tc>
        <w:tc>
          <w:tcPr>
            <w:tcW w:w="1701" w:type="dxa"/>
            <w:gridSpan w:val="2"/>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IgAκ</w:t>
            </w:r>
            <w:r w:rsidRPr="00A11646">
              <w:rPr>
                <w:rFonts w:ascii="Times New Roman" w:hAnsi="Times New Roman"/>
                <w:sz w:val="28"/>
                <w:szCs w:val="28"/>
              </w:rPr>
              <w:t>,</w:t>
            </w:r>
          </w:p>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(n=</w:t>
            </w:r>
            <w:r w:rsidRPr="00A11646">
              <w:rPr>
                <w:rFonts w:ascii="Times New Roman" w:hAnsi="Times New Roman"/>
                <w:sz w:val="28"/>
                <w:szCs w:val="28"/>
              </w:rPr>
              <w:t>8</w:t>
            </w:r>
            <w:r w:rsidRPr="00A11646">
              <w:rPr>
                <w:rFonts w:ascii="Times New Roman" w:hAnsi="Times New Roman"/>
                <w:sz w:val="28"/>
                <w:szCs w:val="28"/>
                <w:lang w:val="en-US"/>
              </w:rPr>
              <w:t>)</w:t>
            </w:r>
          </w:p>
        </w:tc>
        <w:tc>
          <w:tcPr>
            <w:tcW w:w="1560" w:type="dxa"/>
            <w:gridSpan w:val="2"/>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IgAλ</w:t>
            </w:r>
            <w:r w:rsidRPr="00A11646">
              <w:rPr>
                <w:rFonts w:ascii="Times New Roman" w:hAnsi="Times New Roman"/>
                <w:sz w:val="28"/>
                <w:szCs w:val="28"/>
              </w:rPr>
              <w:t xml:space="preserve">, </w:t>
            </w:r>
          </w:p>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lang w:val="en-US"/>
              </w:rPr>
              <w:t>(n=</w:t>
            </w:r>
            <w:r w:rsidRPr="00A11646">
              <w:rPr>
                <w:rFonts w:ascii="Times New Roman" w:hAnsi="Times New Roman"/>
                <w:sz w:val="28"/>
                <w:szCs w:val="28"/>
              </w:rPr>
              <w:t>14</w:t>
            </w:r>
            <w:r w:rsidRPr="00A11646">
              <w:rPr>
                <w:rFonts w:ascii="Times New Roman" w:hAnsi="Times New Roman"/>
                <w:sz w:val="28"/>
                <w:szCs w:val="28"/>
                <w:lang w:val="en-US"/>
              </w:rPr>
              <w:t>)</w:t>
            </w:r>
          </w:p>
        </w:tc>
        <w:tc>
          <w:tcPr>
            <w:tcW w:w="1556" w:type="dxa"/>
            <w:gridSpan w:val="2"/>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 xml:space="preserve">Редкие варианты </w:t>
            </w:r>
            <w:r w:rsidRPr="00A11646">
              <w:rPr>
                <w:rFonts w:ascii="Times New Roman" w:hAnsi="Times New Roman"/>
                <w:sz w:val="28"/>
                <w:szCs w:val="28"/>
                <w:lang w:val="en-US"/>
              </w:rPr>
              <w:t>Ig</w:t>
            </w:r>
            <w:r w:rsidRPr="00A11646">
              <w:rPr>
                <w:rFonts w:ascii="Times New Roman" w:hAnsi="Times New Roman"/>
                <w:sz w:val="28"/>
                <w:szCs w:val="28"/>
              </w:rPr>
              <w:t xml:space="preserve">, </w:t>
            </w:r>
            <w:r w:rsidRPr="00A11646">
              <w:rPr>
                <w:rFonts w:ascii="Times New Roman" w:hAnsi="Times New Roman"/>
                <w:sz w:val="28"/>
                <w:szCs w:val="28"/>
                <w:lang w:val="en-US"/>
              </w:rPr>
              <w:t>(n=</w:t>
            </w:r>
            <w:r w:rsidRPr="00A11646">
              <w:rPr>
                <w:rFonts w:ascii="Times New Roman" w:hAnsi="Times New Roman"/>
                <w:sz w:val="28"/>
                <w:szCs w:val="28"/>
              </w:rPr>
              <w:t>20</w:t>
            </w:r>
            <w:r w:rsidRPr="00A11646">
              <w:rPr>
                <w:rFonts w:ascii="Times New Roman" w:hAnsi="Times New Roman"/>
                <w:sz w:val="28"/>
                <w:szCs w:val="28"/>
                <w:lang w:val="en-US"/>
              </w:rPr>
              <w:t>)</w:t>
            </w:r>
          </w:p>
        </w:tc>
      </w:tr>
      <w:tr w:rsidR="00C328C9" w:rsidRPr="00A11646" w:rsidTr="00C328C9">
        <w:trPr>
          <w:trHeight w:val="187"/>
        </w:trPr>
        <w:tc>
          <w:tcPr>
            <w:tcW w:w="1270"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p>
        </w:tc>
        <w:tc>
          <w:tcPr>
            <w:tcW w:w="713"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абс</w:t>
            </w:r>
          </w:p>
        </w:tc>
        <w:tc>
          <w:tcPr>
            <w:tcW w:w="844"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81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абс</w:t>
            </w:r>
          </w:p>
        </w:tc>
        <w:tc>
          <w:tcPr>
            <w:tcW w:w="885"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87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абс</w:t>
            </w:r>
          </w:p>
        </w:tc>
        <w:tc>
          <w:tcPr>
            <w:tcW w:w="82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абс</w:t>
            </w:r>
          </w:p>
        </w:tc>
        <w:tc>
          <w:tcPr>
            <w:tcW w:w="70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абс</w:t>
            </w:r>
          </w:p>
        </w:tc>
        <w:tc>
          <w:tcPr>
            <w:tcW w:w="70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r>
      <w:tr w:rsidR="00C328C9" w:rsidRPr="00A11646" w:rsidTr="00C328C9">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en-US"/>
              </w:rPr>
              <w:t xml:space="preserve">II </w:t>
            </w:r>
            <w:r w:rsidRPr="00A11646">
              <w:rPr>
                <w:rFonts w:ascii="Times New Roman" w:eastAsia="Times New Roman" w:hAnsi="Times New Roman"/>
                <w:sz w:val="28"/>
                <w:szCs w:val="28"/>
              </w:rPr>
              <w:t>«A»</w:t>
            </w:r>
          </w:p>
        </w:tc>
        <w:tc>
          <w:tcPr>
            <w:tcW w:w="713"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5</w:t>
            </w:r>
          </w:p>
        </w:tc>
        <w:tc>
          <w:tcPr>
            <w:tcW w:w="844"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8,9</w:t>
            </w:r>
          </w:p>
        </w:tc>
        <w:tc>
          <w:tcPr>
            <w:tcW w:w="81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w:t>
            </w:r>
          </w:p>
        </w:tc>
        <w:tc>
          <w:tcPr>
            <w:tcW w:w="885"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11,5</w:t>
            </w:r>
          </w:p>
        </w:tc>
        <w:tc>
          <w:tcPr>
            <w:tcW w:w="87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w:t>
            </w:r>
          </w:p>
        </w:tc>
        <w:tc>
          <w:tcPr>
            <w:tcW w:w="82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12,5</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w:t>
            </w:r>
          </w:p>
        </w:tc>
        <w:tc>
          <w:tcPr>
            <w:tcW w:w="70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7,1</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2</w:t>
            </w:r>
          </w:p>
        </w:tc>
        <w:tc>
          <w:tcPr>
            <w:tcW w:w="70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10,0</w:t>
            </w:r>
          </w:p>
        </w:tc>
      </w:tr>
      <w:tr w:rsidR="00C328C9" w:rsidRPr="00A11646" w:rsidTr="00C328C9">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 xml:space="preserve">II </w:t>
            </w:r>
            <w:r w:rsidRPr="00A11646">
              <w:rPr>
                <w:rFonts w:ascii="Times New Roman" w:eastAsia="Times New Roman" w:hAnsi="Times New Roman"/>
                <w:sz w:val="28"/>
                <w:szCs w:val="28"/>
              </w:rPr>
              <w:t>«B»</w:t>
            </w:r>
          </w:p>
        </w:tc>
        <w:tc>
          <w:tcPr>
            <w:tcW w:w="713"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w:t>
            </w:r>
          </w:p>
        </w:tc>
        <w:tc>
          <w:tcPr>
            <w:tcW w:w="844"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5,4</w:t>
            </w:r>
          </w:p>
        </w:tc>
        <w:tc>
          <w:tcPr>
            <w:tcW w:w="81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w:t>
            </w:r>
          </w:p>
        </w:tc>
        <w:tc>
          <w:tcPr>
            <w:tcW w:w="885"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11,5</w:t>
            </w:r>
          </w:p>
        </w:tc>
        <w:tc>
          <w:tcPr>
            <w:tcW w:w="87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82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70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w:t>
            </w:r>
          </w:p>
        </w:tc>
        <w:tc>
          <w:tcPr>
            <w:tcW w:w="70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15,0</w:t>
            </w:r>
          </w:p>
        </w:tc>
      </w:tr>
      <w:tr w:rsidR="00C328C9" w:rsidRPr="00A11646" w:rsidTr="00C328C9">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lang w:val="en-US"/>
              </w:rPr>
            </w:pPr>
            <w:r w:rsidRPr="00A11646">
              <w:rPr>
                <w:rFonts w:ascii="Times New Roman" w:hAnsi="Times New Roman"/>
                <w:b/>
                <w:sz w:val="28"/>
                <w:szCs w:val="28"/>
                <w:lang w:val="en-US"/>
              </w:rPr>
              <w:t>II</w:t>
            </w:r>
          </w:p>
        </w:tc>
        <w:tc>
          <w:tcPr>
            <w:tcW w:w="713"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8</w:t>
            </w:r>
          </w:p>
        </w:tc>
        <w:tc>
          <w:tcPr>
            <w:tcW w:w="844"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14,3</w:t>
            </w:r>
          </w:p>
        </w:tc>
        <w:tc>
          <w:tcPr>
            <w:tcW w:w="816"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6</w:t>
            </w:r>
          </w:p>
        </w:tc>
        <w:tc>
          <w:tcPr>
            <w:tcW w:w="885"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23</w:t>
            </w:r>
          </w:p>
        </w:tc>
        <w:tc>
          <w:tcPr>
            <w:tcW w:w="879"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1</w:t>
            </w:r>
          </w:p>
        </w:tc>
        <w:tc>
          <w:tcPr>
            <w:tcW w:w="822"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12,5</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1</w:t>
            </w:r>
          </w:p>
        </w:tc>
        <w:tc>
          <w:tcPr>
            <w:tcW w:w="709"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7,1</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5</w:t>
            </w:r>
          </w:p>
        </w:tc>
        <w:tc>
          <w:tcPr>
            <w:tcW w:w="706"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25,0</w:t>
            </w:r>
          </w:p>
        </w:tc>
      </w:tr>
      <w:tr w:rsidR="00C328C9" w:rsidRPr="00A11646" w:rsidTr="00C328C9">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III «A»</w:t>
            </w:r>
          </w:p>
        </w:tc>
        <w:tc>
          <w:tcPr>
            <w:tcW w:w="713"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21</w:t>
            </w:r>
          </w:p>
        </w:tc>
        <w:tc>
          <w:tcPr>
            <w:tcW w:w="844"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37,5</w:t>
            </w:r>
          </w:p>
        </w:tc>
        <w:tc>
          <w:tcPr>
            <w:tcW w:w="81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10</w:t>
            </w:r>
          </w:p>
        </w:tc>
        <w:tc>
          <w:tcPr>
            <w:tcW w:w="885"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38,5</w:t>
            </w:r>
          </w:p>
        </w:tc>
        <w:tc>
          <w:tcPr>
            <w:tcW w:w="87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4</w:t>
            </w:r>
          </w:p>
        </w:tc>
        <w:tc>
          <w:tcPr>
            <w:tcW w:w="82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50,0</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6</w:t>
            </w:r>
          </w:p>
        </w:tc>
        <w:tc>
          <w:tcPr>
            <w:tcW w:w="70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42,9</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9</w:t>
            </w:r>
          </w:p>
        </w:tc>
        <w:tc>
          <w:tcPr>
            <w:tcW w:w="70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45,0</w:t>
            </w:r>
          </w:p>
        </w:tc>
      </w:tr>
      <w:tr w:rsidR="00C328C9" w:rsidRPr="00A11646" w:rsidTr="00C328C9">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III «B»</w:t>
            </w:r>
          </w:p>
        </w:tc>
        <w:tc>
          <w:tcPr>
            <w:tcW w:w="713"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27</w:t>
            </w:r>
          </w:p>
        </w:tc>
        <w:tc>
          <w:tcPr>
            <w:tcW w:w="844"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48,2</w:t>
            </w:r>
          </w:p>
        </w:tc>
        <w:tc>
          <w:tcPr>
            <w:tcW w:w="81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10</w:t>
            </w:r>
          </w:p>
        </w:tc>
        <w:tc>
          <w:tcPr>
            <w:tcW w:w="885"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38,5</w:t>
            </w:r>
          </w:p>
        </w:tc>
        <w:tc>
          <w:tcPr>
            <w:tcW w:w="87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w:t>
            </w:r>
          </w:p>
        </w:tc>
        <w:tc>
          <w:tcPr>
            <w:tcW w:w="82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37,5</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7</w:t>
            </w:r>
          </w:p>
        </w:tc>
        <w:tc>
          <w:tcPr>
            <w:tcW w:w="709"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50,0</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6</w:t>
            </w:r>
          </w:p>
        </w:tc>
        <w:tc>
          <w:tcPr>
            <w:tcW w:w="706"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rPr>
            </w:pPr>
            <w:r w:rsidRPr="00A11646">
              <w:rPr>
                <w:rFonts w:ascii="Times New Roman" w:hAnsi="Times New Roman"/>
                <w:sz w:val="28"/>
                <w:szCs w:val="28"/>
              </w:rPr>
              <w:t>30,0</w:t>
            </w:r>
          </w:p>
        </w:tc>
      </w:tr>
      <w:tr w:rsidR="00C328C9" w:rsidRPr="00A11646" w:rsidTr="00C328C9">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lang w:val="en-US"/>
              </w:rPr>
            </w:pPr>
            <w:r w:rsidRPr="00A11646">
              <w:rPr>
                <w:rFonts w:ascii="Times New Roman" w:hAnsi="Times New Roman"/>
                <w:b/>
                <w:sz w:val="28"/>
                <w:szCs w:val="28"/>
                <w:lang w:val="en-US"/>
              </w:rPr>
              <w:t>III</w:t>
            </w:r>
          </w:p>
        </w:tc>
        <w:tc>
          <w:tcPr>
            <w:tcW w:w="713"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48</w:t>
            </w:r>
          </w:p>
        </w:tc>
        <w:tc>
          <w:tcPr>
            <w:tcW w:w="844"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85,7</w:t>
            </w:r>
          </w:p>
        </w:tc>
        <w:tc>
          <w:tcPr>
            <w:tcW w:w="816"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20</w:t>
            </w:r>
          </w:p>
        </w:tc>
        <w:tc>
          <w:tcPr>
            <w:tcW w:w="885"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77</w:t>
            </w:r>
          </w:p>
        </w:tc>
        <w:tc>
          <w:tcPr>
            <w:tcW w:w="879"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7</w:t>
            </w:r>
          </w:p>
        </w:tc>
        <w:tc>
          <w:tcPr>
            <w:tcW w:w="822"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87,5</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13</w:t>
            </w:r>
          </w:p>
        </w:tc>
        <w:tc>
          <w:tcPr>
            <w:tcW w:w="709"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92,9</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15</w:t>
            </w:r>
          </w:p>
        </w:tc>
        <w:tc>
          <w:tcPr>
            <w:tcW w:w="706" w:type="dxa"/>
          </w:tcPr>
          <w:p w:rsidR="00C328C9" w:rsidRPr="00A11646" w:rsidRDefault="00C328C9" w:rsidP="00C328C9">
            <w:pPr>
              <w:autoSpaceDE w:val="0"/>
              <w:autoSpaceDN w:val="0"/>
              <w:adjustRightInd w:val="0"/>
              <w:spacing w:line="360" w:lineRule="auto"/>
              <w:jc w:val="center"/>
              <w:rPr>
                <w:rFonts w:ascii="Times New Roman" w:hAnsi="Times New Roman"/>
                <w:b/>
                <w:sz w:val="28"/>
                <w:szCs w:val="28"/>
              </w:rPr>
            </w:pPr>
            <w:r w:rsidRPr="00A11646">
              <w:rPr>
                <w:rFonts w:ascii="Times New Roman" w:hAnsi="Times New Roman"/>
                <w:b/>
                <w:sz w:val="28"/>
                <w:szCs w:val="28"/>
              </w:rPr>
              <w:t>75,0</w:t>
            </w:r>
          </w:p>
        </w:tc>
      </w:tr>
    </w:tbl>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en-US"/>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78" w:name="_Hlk7085600"/>
      <w:r w:rsidRPr="00A11646">
        <w:rPr>
          <w:rFonts w:ascii="Times New Roman" w:hAnsi="Times New Roman"/>
          <w:sz w:val="28"/>
          <w:szCs w:val="28"/>
          <w:lang w:val="uz-Cyrl-UZ"/>
        </w:rPr>
        <w:t xml:space="preserve">Клинические проявления у обследованных больных ММ характеризовались наличием болей в костях (оссалгии), патологических переломов костей скелета, инфекционных осложнений, хронической почечной недостаточностью и экстрамедулярными проявлениями плазмоцитомы. </w:t>
      </w:r>
      <w:bookmarkEnd w:id="78"/>
      <w:r w:rsidRPr="00A11646">
        <w:rPr>
          <w:rFonts w:ascii="Times New Roman" w:hAnsi="Times New Roman"/>
          <w:sz w:val="28"/>
          <w:szCs w:val="28"/>
          <w:lang w:val="uz-Cyrl-UZ"/>
        </w:rPr>
        <w:t>Частота этих симптомов  у больных ММ в зависимости от иммунохимического варианта заболевания представлена в таблице 3.1.5.</w:t>
      </w:r>
    </w:p>
    <w:p w:rsidR="00C328C9" w:rsidRPr="00A11646" w:rsidRDefault="00C328C9" w:rsidP="00C328C9">
      <w:pPr>
        <w:pStyle w:val="a3"/>
        <w:spacing w:line="360" w:lineRule="auto"/>
        <w:ind w:firstLine="709"/>
        <w:jc w:val="both"/>
        <w:rPr>
          <w:color w:val="auto"/>
        </w:rPr>
      </w:pPr>
      <w:r w:rsidRPr="00A11646">
        <w:rPr>
          <w:color w:val="auto"/>
          <w:lang w:val="uz-Cyrl-UZ"/>
        </w:rPr>
        <w:t>Оссалгия наблюдалась у всех обследованных больных</w:t>
      </w:r>
      <w:r w:rsidRPr="00A11646">
        <w:rPr>
          <w:color w:val="auto"/>
        </w:rPr>
        <w:t xml:space="preserve"> 124 (100%), включенных в исследование, </w:t>
      </w:r>
      <w:bookmarkStart w:id="79" w:name="_Hlk5707772"/>
      <w:r w:rsidRPr="00A11646">
        <w:rPr>
          <w:color w:val="auto"/>
        </w:rPr>
        <w:t xml:space="preserve">из них мужчин – </w:t>
      </w:r>
      <w:r w:rsidRPr="00A11646">
        <w:rPr>
          <w:color w:val="auto"/>
          <w:lang w:val="uz-Cyrl-UZ"/>
        </w:rPr>
        <w:t>58</w:t>
      </w:r>
      <w:r w:rsidRPr="00A11646">
        <w:rPr>
          <w:color w:val="auto"/>
        </w:rPr>
        <w:t xml:space="preserve"> (</w:t>
      </w:r>
      <w:r w:rsidRPr="00A11646">
        <w:rPr>
          <w:color w:val="auto"/>
          <w:lang w:val="uz-Cyrl-UZ"/>
        </w:rPr>
        <w:t>46,8</w:t>
      </w:r>
      <w:r w:rsidRPr="00A11646">
        <w:rPr>
          <w:color w:val="auto"/>
        </w:rPr>
        <w:t xml:space="preserve">%), женщин – </w:t>
      </w:r>
      <w:r w:rsidRPr="00A11646">
        <w:rPr>
          <w:color w:val="auto"/>
          <w:lang w:val="uz-Cyrl-UZ"/>
        </w:rPr>
        <w:t>66</w:t>
      </w:r>
      <w:r w:rsidRPr="00A11646">
        <w:rPr>
          <w:color w:val="auto"/>
        </w:rPr>
        <w:t xml:space="preserve"> (</w:t>
      </w:r>
      <w:r w:rsidRPr="00A11646">
        <w:rPr>
          <w:color w:val="auto"/>
          <w:lang w:val="uz-Cyrl-UZ"/>
        </w:rPr>
        <w:t>53,2</w:t>
      </w:r>
      <w:r w:rsidRPr="00A11646">
        <w:rPr>
          <w:color w:val="auto"/>
        </w:rPr>
        <w:t xml:space="preserve">%). </w:t>
      </w:r>
    </w:p>
    <w:bookmarkEnd w:id="79"/>
    <w:p w:rsidR="00C328C9" w:rsidRPr="00A11646" w:rsidRDefault="00C328C9" w:rsidP="00C328C9">
      <w:pPr>
        <w:pStyle w:val="a3"/>
        <w:spacing w:line="360" w:lineRule="auto"/>
        <w:ind w:firstLine="709"/>
        <w:jc w:val="both"/>
        <w:rPr>
          <w:rFonts w:eastAsia="Times New Roman"/>
          <w:color w:val="auto"/>
          <w:lang w:eastAsia="ru-RU"/>
        </w:rPr>
      </w:pPr>
      <w:r w:rsidRPr="00A11646">
        <w:rPr>
          <w:color w:val="auto"/>
          <w:lang w:val="uz-Cyrl-UZ"/>
        </w:rPr>
        <w:t>Патологические переломы костей скелета определялись у 101 (81,5%) больных ММ (</w:t>
      </w:r>
      <w:r w:rsidRPr="00A11646">
        <w:rPr>
          <w:color w:val="auto"/>
        </w:rPr>
        <w:t xml:space="preserve">из них мужчин – 48 (38,7%), женщин – 53(42,7%)), тогда как у 23 (18,6%)  они не наблюдались. При этом необходимо отметить, что данный симптом </w:t>
      </w:r>
      <w:bookmarkStart w:id="80" w:name="_Hlk7085858"/>
      <w:r w:rsidRPr="00A11646">
        <w:rPr>
          <w:color w:val="auto"/>
        </w:rPr>
        <w:t xml:space="preserve">чаще наблюдался при иммунохимическом варианте </w:t>
      </w:r>
      <w:bookmarkStart w:id="81" w:name="_Hlk5711403"/>
      <w:r w:rsidRPr="00A11646">
        <w:rPr>
          <w:color w:val="auto"/>
        </w:rPr>
        <w:t xml:space="preserve">ММ </w:t>
      </w:r>
      <w:bookmarkStart w:id="82" w:name="_Hlk5709457"/>
      <w:bookmarkStart w:id="83" w:name="_Hlk5711413"/>
      <w:r w:rsidRPr="00A11646">
        <w:rPr>
          <w:color w:val="auto"/>
          <w:lang w:val="en-US"/>
        </w:rPr>
        <w:t>IgA</w:t>
      </w:r>
      <w:bookmarkEnd w:id="82"/>
      <w:r w:rsidRPr="00A11646">
        <w:rPr>
          <w:rFonts w:eastAsia="Times New Roman"/>
          <w:color w:val="auto"/>
          <w:lang w:eastAsia="ru-RU"/>
        </w:rPr>
        <w:t>λ</w:t>
      </w:r>
      <w:bookmarkEnd w:id="83"/>
      <w:r w:rsidRPr="00A11646">
        <w:rPr>
          <w:rFonts w:eastAsia="Times New Roman"/>
          <w:color w:val="auto"/>
          <w:lang w:eastAsia="ru-RU"/>
        </w:rPr>
        <w:t xml:space="preserve"> и </w:t>
      </w:r>
      <w:r w:rsidRPr="00A11646">
        <w:rPr>
          <w:color w:val="auto"/>
          <w:lang w:val="en-US"/>
        </w:rPr>
        <w:t>IgA</w:t>
      </w:r>
      <w:r w:rsidRPr="00A11646">
        <w:rPr>
          <w:rFonts w:eastAsia="Times New Roman"/>
          <w:color w:val="auto"/>
          <w:lang w:eastAsia="ru-RU"/>
        </w:rPr>
        <w:t>κ</w:t>
      </w:r>
      <w:bookmarkEnd w:id="81"/>
      <w:r w:rsidRPr="00A11646">
        <w:rPr>
          <w:rFonts w:eastAsia="Times New Roman"/>
          <w:color w:val="auto"/>
          <w:lang w:eastAsia="ru-RU"/>
        </w:rPr>
        <w:t xml:space="preserve">, значение которого составило 92,9% и 87,5% </w:t>
      </w:r>
      <w:bookmarkEnd w:id="80"/>
      <w:r w:rsidRPr="00A11646">
        <w:rPr>
          <w:rFonts w:eastAsia="Times New Roman"/>
          <w:color w:val="auto"/>
          <w:lang w:eastAsia="ru-RU"/>
        </w:rPr>
        <w:lastRenderedPageBreak/>
        <w:t xml:space="preserve">соответственно. Выявленный факт свидетельствует о более тяжелом клиническом течении вариантов </w:t>
      </w:r>
      <w:r w:rsidRPr="00A11646">
        <w:rPr>
          <w:color w:val="auto"/>
        </w:rPr>
        <w:t xml:space="preserve">ММ </w:t>
      </w:r>
      <w:r w:rsidRPr="00A11646">
        <w:rPr>
          <w:color w:val="auto"/>
          <w:lang w:val="en-US"/>
        </w:rPr>
        <w:t>IgA</w:t>
      </w:r>
      <w:r w:rsidRPr="00A11646">
        <w:rPr>
          <w:rFonts w:eastAsia="Times New Roman"/>
          <w:color w:val="auto"/>
          <w:lang w:eastAsia="ru-RU"/>
        </w:rPr>
        <w:t xml:space="preserve">λ и </w:t>
      </w:r>
      <w:r w:rsidRPr="00A11646">
        <w:rPr>
          <w:color w:val="auto"/>
          <w:lang w:val="en-US"/>
        </w:rPr>
        <w:t>IgA</w:t>
      </w:r>
      <w:r w:rsidRPr="00A11646">
        <w:rPr>
          <w:rFonts w:eastAsia="Times New Roman"/>
          <w:color w:val="auto"/>
          <w:lang w:eastAsia="ru-RU"/>
        </w:rPr>
        <w:t>κ.</w:t>
      </w:r>
    </w:p>
    <w:p w:rsidR="00C328C9" w:rsidRPr="00A11646" w:rsidRDefault="00C328C9" w:rsidP="00C328C9">
      <w:pPr>
        <w:autoSpaceDE w:val="0"/>
        <w:autoSpaceDN w:val="0"/>
        <w:adjustRightInd w:val="0"/>
        <w:spacing w:after="0" w:line="360" w:lineRule="auto"/>
        <w:ind w:firstLine="708"/>
        <w:jc w:val="right"/>
        <w:rPr>
          <w:rFonts w:ascii="Times New Roman" w:hAnsi="Times New Roman"/>
          <w:b/>
          <w:sz w:val="28"/>
          <w:szCs w:val="28"/>
          <w:lang w:val="uz-Cyrl-UZ"/>
        </w:rPr>
      </w:pPr>
      <w:r w:rsidRPr="00A11646">
        <w:rPr>
          <w:rFonts w:ascii="Times New Roman" w:hAnsi="Times New Roman"/>
          <w:b/>
          <w:sz w:val="28"/>
          <w:szCs w:val="28"/>
          <w:lang w:val="uz-Cyrl-UZ"/>
        </w:rPr>
        <w:t>Таблица 3.1.5.</w:t>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lang w:val="uz-Cyrl-UZ"/>
        </w:rPr>
      </w:pPr>
      <w:r w:rsidRPr="00A11646">
        <w:rPr>
          <w:rFonts w:ascii="Times New Roman" w:hAnsi="Times New Roman"/>
          <w:b/>
          <w:sz w:val="28"/>
          <w:szCs w:val="28"/>
          <w:lang w:val="uz-Cyrl-UZ"/>
        </w:rPr>
        <w:t xml:space="preserve">Клинические проявления ММ </w:t>
      </w:r>
    </w:p>
    <w:tbl>
      <w:tblPr>
        <w:tblStyle w:val="a6"/>
        <w:tblW w:w="0" w:type="auto"/>
        <w:tblLayout w:type="fixed"/>
        <w:tblLook w:val="04A0"/>
      </w:tblPr>
      <w:tblGrid>
        <w:gridCol w:w="3681"/>
        <w:gridCol w:w="992"/>
        <w:gridCol w:w="851"/>
        <w:gridCol w:w="850"/>
        <w:gridCol w:w="851"/>
        <w:gridCol w:w="850"/>
        <w:gridCol w:w="1270"/>
      </w:tblGrid>
      <w:tr w:rsidR="00C328C9" w:rsidRPr="00A11646" w:rsidTr="00C328C9">
        <w:trPr>
          <w:trHeight w:val="267"/>
        </w:trPr>
        <w:tc>
          <w:tcPr>
            <w:tcW w:w="4673" w:type="dxa"/>
            <w:gridSpan w:val="2"/>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Клинические проявления ММ</w:t>
            </w:r>
          </w:p>
        </w:tc>
        <w:tc>
          <w:tcPr>
            <w:tcW w:w="4672" w:type="dxa"/>
            <w:gridSpan w:val="5"/>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Иммунохимические типы ММ</w:t>
            </w:r>
          </w:p>
        </w:tc>
      </w:tr>
      <w:tr w:rsidR="00C328C9" w:rsidRPr="00A11646" w:rsidTr="00C328C9">
        <w:trPr>
          <w:trHeight w:val="280"/>
        </w:trPr>
        <w:tc>
          <w:tcPr>
            <w:tcW w:w="4673" w:type="dxa"/>
            <w:gridSpan w:val="2"/>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c>
          <w:tcPr>
            <w:tcW w:w="1701" w:type="dxa"/>
            <w:gridSpan w:val="2"/>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IgG</w:t>
            </w:r>
          </w:p>
        </w:tc>
        <w:tc>
          <w:tcPr>
            <w:tcW w:w="1701" w:type="dxa"/>
            <w:gridSpan w:val="2"/>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IgA</w:t>
            </w:r>
          </w:p>
        </w:tc>
        <w:tc>
          <w:tcPr>
            <w:tcW w:w="1270" w:type="dxa"/>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uz-Cyrl-UZ"/>
              </w:rPr>
              <w:t>Редкие тип</w:t>
            </w:r>
            <w:r w:rsidRPr="00A11646">
              <w:rPr>
                <w:rFonts w:ascii="Times New Roman" w:hAnsi="Times New Roman"/>
                <w:sz w:val="28"/>
                <w:szCs w:val="28"/>
              </w:rPr>
              <w:t>ы</w:t>
            </w:r>
            <w:r w:rsidRPr="00A11646">
              <w:rPr>
                <w:rFonts w:ascii="Times New Roman" w:hAnsi="Times New Roman"/>
                <w:sz w:val="28"/>
                <w:szCs w:val="28"/>
                <w:lang w:val="en-US"/>
              </w:rPr>
              <w:t>,</w:t>
            </w:r>
          </w:p>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hAnsi="Times New Roman"/>
                <w:sz w:val="28"/>
                <w:szCs w:val="28"/>
                <w:lang w:val="en-US"/>
              </w:rPr>
              <w:t>n=20</w:t>
            </w:r>
          </w:p>
        </w:tc>
      </w:tr>
      <w:tr w:rsidR="00C328C9" w:rsidRPr="00A11646" w:rsidTr="00C328C9">
        <w:trPr>
          <w:trHeight w:val="408"/>
        </w:trPr>
        <w:tc>
          <w:tcPr>
            <w:tcW w:w="4673" w:type="dxa"/>
            <w:gridSpan w:val="2"/>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c>
          <w:tcPr>
            <w:tcW w:w="851" w:type="dxa"/>
          </w:tcPr>
          <w:p w:rsidR="00C328C9" w:rsidRPr="00A11646" w:rsidRDefault="00C328C9" w:rsidP="00C328C9">
            <w:pPr>
              <w:autoSpaceDE w:val="0"/>
              <w:autoSpaceDN w:val="0"/>
              <w:adjustRightInd w:val="0"/>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κ</w:t>
            </w:r>
            <w:r w:rsidRPr="00A11646">
              <w:rPr>
                <w:rFonts w:ascii="Times New Roman" w:eastAsia="Times New Roman" w:hAnsi="Times New Roman"/>
                <w:sz w:val="28"/>
                <w:szCs w:val="28"/>
                <w:lang w:val="en-US"/>
              </w:rPr>
              <w:t xml:space="preserve">, </w:t>
            </w:r>
          </w:p>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eastAsia="Times New Roman" w:hAnsi="Times New Roman"/>
                <w:sz w:val="28"/>
                <w:szCs w:val="28"/>
                <w:lang w:val="en-US"/>
              </w:rPr>
              <w:t>n=56</w:t>
            </w:r>
          </w:p>
        </w:tc>
        <w:tc>
          <w:tcPr>
            <w:tcW w:w="850" w:type="dxa"/>
          </w:tcPr>
          <w:p w:rsidR="00C328C9" w:rsidRPr="00A11646" w:rsidRDefault="00C328C9" w:rsidP="00C328C9">
            <w:pPr>
              <w:autoSpaceDE w:val="0"/>
              <w:autoSpaceDN w:val="0"/>
              <w:adjustRightInd w:val="0"/>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 xml:space="preserve">λ, </w:t>
            </w:r>
          </w:p>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eastAsia="Times New Roman" w:hAnsi="Times New Roman"/>
                <w:sz w:val="28"/>
                <w:szCs w:val="28"/>
                <w:lang w:val="en-US"/>
              </w:rPr>
              <w:t>n=26</w:t>
            </w:r>
          </w:p>
        </w:tc>
        <w:tc>
          <w:tcPr>
            <w:tcW w:w="851" w:type="dxa"/>
          </w:tcPr>
          <w:p w:rsidR="00C328C9" w:rsidRPr="00A11646" w:rsidRDefault="00C328C9" w:rsidP="00C328C9">
            <w:pPr>
              <w:autoSpaceDE w:val="0"/>
              <w:autoSpaceDN w:val="0"/>
              <w:adjustRightInd w:val="0"/>
              <w:spacing w:line="360" w:lineRule="auto"/>
              <w:jc w:val="center"/>
              <w:rPr>
                <w:rFonts w:ascii="Times New Roman" w:eastAsia="Times New Roman" w:hAnsi="Times New Roman"/>
                <w:sz w:val="28"/>
                <w:szCs w:val="28"/>
                <w:lang w:val="en-US"/>
              </w:rPr>
            </w:pPr>
            <w:bookmarkStart w:id="84" w:name="_Hlk5709448"/>
            <w:r w:rsidRPr="00A11646">
              <w:rPr>
                <w:rFonts w:ascii="Times New Roman" w:eastAsia="Times New Roman" w:hAnsi="Times New Roman"/>
                <w:sz w:val="28"/>
                <w:szCs w:val="28"/>
              </w:rPr>
              <w:t>κ</w:t>
            </w:r>
            <w:bookmarkEnd w:id="84"/>
            <w:r w:rsidRPr="00A11646">
              <w:rPr>
                <w:rFonts w:ascii="Times New Roman" w:eastAsia="Times New Roman" w:hAnsi="Times New Roman"/>
                <w:sz w:val="28"/>
                <w:szCs w:val="28"/>
                <w:lang w:val="en-US"/>
              </w:rPr>
              <w:t>,</w:t>
            </w:r>
          </w:p>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eastAsia="Times New Roman" w:hAnsi="Times New Roman"/>
                <w:sz w:val="28"/>
                <w:szCs w:val="28"/>
                <w:lang w:val="en-US"/>
              </w:rPr>
              <w:t>n=8</w:t>
            </w:r>
          </w:p>
        </w:tc>
        <w:tc>
          <w:tcPr>
            <w:tcW w:w="850" w:type="dxa"/>
          </w:tcPr>
          <w:p w:rsidR="00C328C9" w:rsidRPr="00A11646" w:rsidRDefault="00C328C9" w:rsidP="00C328C9">
            <w:pPr>
              <w:autoSpaceDE w:val="0"/>
              <w:autoSpaceDN w:val="0"/>
              <w:adjustRightInd w:val="0"/>
              <w:spacing w:line="360" w:lineRule="auto"/>
              <w:jc w:val="center"/>
              <w:rPr>
                <w:rFonts w:ascii="Times New Roman" w:eastAsia="Times New Roman" w:hAnsi="Times New Roman"/>
                <w:sz w:val="28"/>
                <w:szCs w:val="28"/>
                <w:lang w:val="en-US"/>
              </w:rPr>
            </w:pPr>
            <w:bookmarkStart w:id="85" w:name="_Hlk5709338"/>
            <w:r w:rsidRPr="00A11646">
              <w:rPr>
                <w:rFonts w:ascii="Times New Roman" w:eastAsia="Times New Roman" w:hAnsi="Times New Roman"/>
                <w:sz w:val="28"/>
                <w:szCs w:val="28"/>
              </w:rPr>
              <w:t>λ</w:t>
            </w:r>
            <w:bookmarkEnd w:id="85"/>
            <w:r w:rsidRPr="00A11646">
              <w:rPr>
                <w:rFonts w:ascii="Times New Roman" w:eastAsia="Times New Roman" w:hAnsi="Times New Roman"/>
                <w:sz w:val="28"/>
                <w:szCs w:val="28"/>
                <w:lang w:val="en-US"/>
              </w:rPr>
              <w:t>,</w:t>
            </w:r>
          </w:p>
          <w:p w:rsidR="00C328C9" w:rsidRPr="00A11646" w:rsidRDefault="00C328C9" w:rsidP="00C328C9">
            <w:pPr>
              <w:autoSpaceDE w:val="0"/>
              <w:autoSpaceDN w:val="0"/>
              <w:adjustRightInd w:val="0"/>
              <w:spacing w:line="360" w:lineRule="auto"/>
              <w:jc w:val="center"/>
              <w:rPr>
                <w:rFonts w:ascii="Times New Roman" w:hAnsi="Times New Roman"/>
                <w:sz w:val="28"/>
                <w:szCs w:val="28"/>
                <w:lang w:val="en-US"/>
              </w:rPr>
            </w:pPr>
            <w:r w:rsidRPr="00A11646">
              <w:rPr>
                <w:rFonts w:ascii="Times New Roman" w:eastAsia="Times New Roman" w:hAnsi="Times New Roman"/>
                <w:sz w:val="28"/>
                <w:szCs w:val="28"/>
                <w:lang w:val="en-US"/>
              </w:rPr>
              <w:t>n=14</w:t>
            </w:r>
          </w:p>
        </w:tc>
        <w:tc>
          <w:tcPr>
            <w:tcW w:w="1270"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r>
      <w:tr w:rsidR="00C328C9" w:rsidRPr="00A11646" w:rsidTr="00C328C9">
        <w:trPr>
          <w:trHeight w:val="216"/>
        </w:trPr>
        <w:tc>
          <w:tcPr>
            <w:tcW w:w="3681" w:type="dxa"/>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Оссалгия</w:t>
            </w: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абс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bCs/>
                <w:sz w:val="28"/>
                <w:szCs w:val="28"/>
              </w:rPr>
              <w:t>26</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8</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14</w:t>
            </w:r>
          </w:p>
        </w:tc>
        <w:tc>
          <w:tcPr>
            <w:tcW w:w="1270" w:type="dxa"/>
            <w:tcBorders>
              <w:right w:val="single" w:sz="4" w:space="0" w:color="auto"/>
            </w:tcBorders>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20</w:t>
            </w:r>
          </w:p>
        </w:tc>
      </w:tr>
      <w:tr w:rsidR="00C328C9" w:rsidRPr="00A11646" w:rsidTr="00C328C9">
        <w:trPr>
          <w:trHeight w:val="268"/>
        </w:trPr>
        <w:tc>
          <w:tcPr>
            <w:tcW w:w="3681"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100</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100</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100</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100</w:t>
            </w:r>
          </w:p>
        </w:tc>
        <w:tc>
          <w:tcPr>
            <w:tcW w:w="1270" w:type="dxa"/>
            <w:tcBorders>
              <w:right w:val="single" w:sz="4" w:space="0" w:color="auto"/>
            </w:tcBorders>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100</w:t>
            </w:r>
          </w:p>
        </w:tc>
      </w:tr>
      <w:tr w:rsidR="00C328C9" w:rsidRPr="00A11646" w:rsidTr="00C328C9">
        <w:trPr>
          <w:trHeight w:val="293"/>
        </w:trPr>
        <w:tc>
          <w:tcPr>
            <w:tcW w:w="3681" w:type="dxa"/>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Патологические переломы</w:t>
            </w: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абс</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47</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19</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7</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13</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15</w:t>
            </w:r>
          </w:p>
        </w:tc>
      </w:tr>
      <w:tr w:rsidR="00C328C9" w:rsidRPr="00A11646" w:rsidTr="00C328C9">
        <w:trPr>
          <w:trHeight w:val="191"/>
        </w:trPr>
        <w:tc>
          <w:tcPr>
            <w:tcW w:w="3681"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83,9</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73,1</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87,5</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92,9</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75,0</w:t>
            </w:r>
          </w:p>
        </w:tc>
      </w:tr>
      <w:tr w:rsidR="00C328C9" w:rsidRPr="00A11646" w:rsidTr="00C328C9">
        <w:trPr>
          <w:trHeight w:val="294"/>
        </w:trPr>
        <w:tc>
          <w:tcPr>
            <w:tcW w:w="3681" w:type="dxa"/>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Инфекционные осложнения</w:t>
            </w: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абс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bCs/>
                <w:sz w:val="28"/>
                <w:szCs w:val="28"/>
              </w:rPr>
              <w:t>13</w:t>
            </w:r>
          </w:p>
        </w:tc>
        <w:tc>
          <w:tcPr>
            <w:tcW w:w="851"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bCs/>
                <w:sz w:val="28"/>
                <w:szCs w:val="28"/>
              </w:rPr>
              <w:t xml:space="preserve"> 4</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7</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w:t>
            </w:r>
          </w:p>
        </w:tc>
      </w:tr>
      <w:tr w:rsidR="00C328C9" w:rsidRPr="00A11646" w:rsidTr="00C328C9">
        <w:trPr>
          <w:trHeight w:val="178"/>
        </w:trPr>
        <w:tc>
          <w:tcPr>
            <w:tcW w:w="3681"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21,4</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50,0</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50,0</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50,0</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25,0</w:t>
            </w:r>
          </w:p>
        </w:tc>
      </w:tr>
      <w:tr w:rsidR="00C328C9" w:rsidRPr="00A11646" w:rsidTr="00C328C9">
        <w:trPr>
          <w:trHeight w:val="216"/>
        </w:trPr>
        <w:tc>
          <w:tcPr>
            <w:tcW w:w="3681" w:type="dxa"/>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ХПН</w:t>
            </w: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абс</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29</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12</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3</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7</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8</w:t>
            </w:r>
          </w:p>
        </w:tc>
      </w:tr>
      <w:tr w:rsidR="00C328C9" w:rsidRPr="00A11646" w:rsidTr="00C328C9">
        <w:trPr>
          <w:trHeight w:val="268"/>
        </w:trPr>
        <w:tc>
          <w:tcPr>
            <w:tcW w:w="3681"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51,8</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41,2</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37,5</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50,0</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40,0</w:t>
            </w:r>
          </w:p>
        </w:tc>
      </w:tr>
      <w:tr w:rsidR="00C328C9" w:rsidRPr="00A11646" w:rsidTr="00C328C9">
        <w:trPr>
          <w:trHeight w:val="215"/>
        </w:trPr>
        <w:tc>
          <w:tcPr>
            <w:tcW w:w="3681" w:type="dxa"/>
            <w:vMerge w:val="restart"/>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 xml:space="preserve">Экстрамедулярные поражения </w:t>
            </w: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абс</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11</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4,0</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w:t>
            </w:r>
          </w:p>
        </w:tc>
      </w:tr>
      <w:tr w:rsidR="00C328C9" w:rsidRPr="00A11646" w:rsidTr="00C328C9">
        <w:trPr>
          <w:trHeight w:val="255"/>
        </w:trPr>
        <w:tc>
          <w:tcPr>
            <w:tcW w:w="3681" w:type="dxa"/>
            <w:vMerge/>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p>
        </w:tc>
        <w:tc>
          <w:tcPr>
            <w:tcW w:w="992"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19,6</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15,4</w:t>
            </w:r>
          </w:p>
        </w:tc>
        <w:tc>
          <w:tcPr>
            <w:tcW w:w="851"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85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w:t>
            </w:r>
          </w:p>
        </w:tc>
        <w:tc>
          <w:tcPr>
            <w:tcW w:w="1270" w:type="dxa"/>
          </w:tcPr>
          <w:p w:rsidR="00C328C9" w:rsidRPr="00A11646" w:rsidRDefault="00C328C9" w:rsidP="00C328C9">
            <w:pPr>
              <w:autoSpaceDE w:val="0"/>
              <w:autoSpaceDN w:val="0"/>
              <w:adjustRightInd w:val="0"/>
              <w:spacing w:line="360" w:lineRule="auto"/>
              <w:jc w:val="center"/>
              <w:rPr>
                <w:rFonts w:ascii="Times New Roman" w:hAnsi="Times New Roman"/>
                <w:sz w:val="28"/>
                <w:szCs w:val="28"/>
                <w:lang w:val="uz-Cyrl-UZ"/>
              </w:rPr>
            </w:pPr>
            <w:r w:rsidRPr="00A11646">
              <w:rPr>
                <w:rFonts w:ascii="Times New Roman" w:hAnsi="Times New Roman"/>
                <w:sz w:val="28"/>
                <w:szCs w:val="28"/>
                <w:lang w:val="uz-Cyrl-UZ"/>
              </w:rPr>
              <w:t>5,0</w:t>
            </w:r>
          </w:p>
        </w:tc>
      </w:tr>
    </w:tbl>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eastAsia="Times New Roman" w:hAnsi="Times New Roman"/>
          <w:sz w:val="28"/>
          <w:szCs w:val="28"/>
        </w:rPr>
        <w:t xml:space="preserve">Инфекционные осложнения в виде гайморита, отита, этмоидита, бронхита, пневмонии, плеврита наблюдались у 41 (33,1%) больных ММ, среди которых число лиц мужского пола составило - 22 (17,7%), женского - 7 (5,6%). Инфекционные осложнения чаще наблюдались при вариантах </w:t>
      </w:r>
      <w:r w:rsidRPr="00A11646">
        <w:rPr>
          <w:rFonts w:ascii="Times New Roman" w:hAnsi="Times New Roman"/>
          <w:sz w:val="28"/>
          <w:szCs w:val="28"/>
        </w:rPr>
        <w:t xml:space="preserve">ММ </w:t>
      </w:r>
      <w:bookmarkStart w:id="86" w:name="_Hlk5711826"/>
      <w:bookmarkStart w:id="87" w:name="_Hlk7085967"/>
      <w:r w:rsidRPr="00A11646">
        <w:rPr>
          <w:rFonts w:ascii="Times New Roman" w:hAnsi="Times New Roman"/>
          <w:sz w:val="28"/>
          <w:szCs w:val="28"/>
          <w:lang w:val="en-US"/>
        </w:rPr>
        <w:t>IgG</w:t>
      </w:r>
      <w:r w:rsidRPr="00A11646">
        <w:rPr>
          <w:rFonts w:ascii="Times New Roman" w:eastAsia="Times New Roman" w:hAnsi="Times New Roman"/>
          <w:sz w:val="28"/>
          <w:szCs w:val="28"/>
        </w:rPr>
        <w:t>λ</w:t>
      </w:r>
      <w:bookmarkEnd w:id="86"/>
      <w:r w:rsidRPr="00A11646">
        <w:rPr>
          <w:rFonts w:ascii="Times New Roman" w:eastAsia="Times New Roman" w:hAnsi="Times New Roman"/>
          <w:sz w:val="28"/>
          <w:szCs w:val="28"/>
        </w:rPr>
        <w:t xml:space="preserve"> (50,0%), </w:t>
      </w:r>
      <w:bookmarkStart w:id="88" w:name="_Hlk5712774"/>
      <w:r w:rsidRPr="00A11646">
        <w:rPr>
          <w:rFonts w:ascii="Times New Roman" w:hAnsi="Times New Roman"/>
          <w:sz w:val="28"/>
          <w:szCs w:val="28"/>
          <w:lang w:val="en-US"/>
        </w:rPr>
        <w:t>IgA</w:t>
      </w:r>
      <w:r w:rsidRPr="00A11646">
        <w:rPr>
          <w:rFonts w:ascii="Times New Roman" w:eastAsia="Times New Roman" w:hAnsi="Times New Roman"/>
          <w:sz w:val="28"/>
          <w:szCs w:val="28"/>
        </w:rPr>
        <w:t xml:space="preserve">κ (50,0%) и </w:t>
      </w:r>
      <w:r w:rsidRPr="00A11646">
        <w:rPr>
          <w:rFonts w:ascii="Times New Roman" w:hAnsi="Times New Roman"/>
          <w:sz w:val="28"/>
          <w:szCs w:val="28"/>
          <w:lang w:val="en-US"/>
        </w:rPr>
        <w:t>IgA</w:t>
      </w:r>
      <w:r w:rsidRPr="00A11646">
        <w:rPr>
          <w:rFonts w:ascii="Times New Roman" w:eastAsia="Times New Roman" w:hAnsi="Times New Roman"/>
          <w:sz w:val="28"/>
          <w:szCs w:val="28"/>
        </w:rPr>
        <w:t xml:space="preserve">λ </w:t>
      </w:r>
      <w:bookmarkEnd w:id="88"/>
      <w:r w:rsidRPr="00A11646">
        <w:rPr>
          <w:rFonts w:ascii="Times New Roman" w:eastAsia="Times New Roman" w:hAnsi="Times New Roman"/>
          <w:sz w:val="28"/>
          <w:szCs w:val="28"/>
        </w:rPr>
        <w:t xml:space="preserve">(50,0%), а реже всего при </w:t>
      </w:r>
      <w:bookmarkStart w:id="89" w:name="_Hlk5712696"/>
      <w:bookmarkStart w:id="90" w:name="_Hlk5711815"/>
      <w:r w:rsidRPr="00A11646">
        <w:rPr>
          <w:rFonts w:ascii="Times New Roman" w:hAnsi="Times New Roman"/>
          <w:sz w:val="28"/>
          <w:szCs w:val="28"/>
          <w:lang w:val="en-US"/>
        </w:rPr>
        <w:t>IgG</w:t>
      </w:r>
      <w:r w:rsidRPr="00A11646">
        <w:rPr>
          <w:rFonts w:ascii="Times New Roman" w:eastAsia="Times New Roman" w:hAnsi="Times New Roman"/>
          <w:sz w:val="28"/>
          <w:szCs w:val="28"/>
        </w:rPr>
        <w:t>κ</w:t>
      </w:r>
      <w:bookmarkEnd w:id="89"/>
      <w:r w:rsidRPr="00A11646">
        <w:rPr>
          <w:rFonts w:ascii="Times New Roman" w:eastAsia="Times New Roman" w:hAnsi="Times New Roman"/>
          <w:sz w:val="28"/>
          <w:szCs w:val="28"/>
        </w:rPr>
        <w:t xml:space="preserve"> (21,4%)</w:t>
      </w:r>
      <w:bookmarkEnd w:id="87"/>
      <w:bookmarkEnd w:id="90"/>
      <w:r w:rsidRPr="00A11646">
        <w:rPr>
          <w:rFonts w:ascii="Times New Roman" w:eastAsia="Times New Roman" w:hAnsi="Times New Roman"/>
          <w:sz w:val="28"/>
          <w:szCs w:val="28"/>
        </w:rPr>
        <w:t>.</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Хроническая почечная недостаточность (ХПН) зарегистрирована у 59 (47,6%, у 30 мужчин и 29 женщин) обследованных больных ММ. Важно указать, что в зависимости от уровня креатинина в сыворотке крови </w:t>
      </w:r>
      <w:r w:rsidRPr="00A11646">
        <w:rPr>
          <w:rFonts w:ascii="Times New Roman" w:hAnsi="Times New Roman"/>
          <w:sz w:val="28"/>
          <w:szCs w:val="28"/>
          <w:lang w:val="en-US"/>
        </w:rPr>
        <w:t>III</w:t>
      </w:r>
      <w:r w:rsidRPr="00A11646">
        <w:rPr>
          <w:rFonts w:ascii="Times New Roman" w:hAnsi="Times New Roman"/>
          <w:sz w:val="28"/>
          <w:szCs w:val="28"/>
          <w:lang w:val="uz-Cyrl-UZ"/>
        </w:rPr>
        <w:t xml:space="preserve"> ст</w:t>
      </w:r>
      <w:r w:rsidRPr="00A11646">
        <w:rPr>
          <w:rFonts w:ascii="Times New Roman" w:hAnsi="Times New Roman"/>
          <w:sz w:val="28"/>
          <w:szCs w:val="28"/>
        </w:rPr>
        <w:t>епень Х</w:t>
      </w:r>
      <w:r w:rsidR="00C92382">
        <w:rPr>
          <w:rFonts w:ascii="Times New Roman" w:hAnsi="Times New Roman"/>
          <w:sz w:val="28"/>
          <w:szCs w:val="28"/>
        </w:rPr>
        <w:t>П</w:t>
      </w:r>
      <w:r w:rsidRPr="00A11646">
        <w:rPr>
          <w:rFonts w:ascii="Times New Roman" w:hAnsi="Times New Roman"/>
          <w:sz w:val="28"/>
          <w:szCs w:val="28"/>
        </w:rPr>
        <w:t xml:space="preserve">Н при варианте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κ выявлена у 4 (3,2%),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λ – 3 (2,4%), </w:t>
      </w:r>
      <w:r w:rsidRPr="00A11646">
        <w:rPr>
          <w:rFonts w:ascii="Times New Roman" w:hAnsi="Times New Roman"/>
          <w:sz w:val="28"/>
          <w:szCs w:val="28"/>
          <w:lang w:val="en-US"/>
        </w:rPr>
        <w:t>IgA</w:t>
      </w:r>
      <w:r w:rsidRPr="00A11646">
        <w:rPr>
          <w:rFonts w:ascii="Times New Roman" w:eastAsia="Times New Roman" w:hAnsi="Times New Roman"/>
          <w:sz w:val="28"/>
          <w:szCs w:val="28"/>
        </w:rPr>
        <w:t xml:space="preserve">κ  </w:t>
      </w:r>
      <w:r w:rsidRPr="00A11646">
        <w:rPr>
          <w:rFonts w:ascii="Times New Roman" w:eastAsia="Times New Roman" w:hAnsi="Times New Roman"/>
          <w:sz w:val="28"/>
          <w:szCs w:val="28"/>
        </w:rPr>
        <w:lastRenderedPageBreak/>
        <w:t xml:space="preserve">-1 (0,8%),  </w:t>
      </w:r>
      <w:bookmarkStart w:id="91" w:name="_Hlk5962388"/>
      <w:r w:rsidRPr="00A11646">
        <w:rPr>
          <w:rFonts w:ascii="Times New Roman" w:hAnsi="Times New Roman"/>
          <w:sz w:val="28"/>
          <w:szCs w:val="28"/>
          <w:lang w:val="en-US"/>
        </w:rPr>
        <w:t>IgA</w:t>
      </w:r>
      <w:r w:rsidRPr="00A11646">
        <w:rPr>
          <w:rFonts w:ascii="Times New Roman" w:eastAsia="Times New Roman" w:hAnsi="Times New Roman"/>
          <w:sz w:val="28"/>
          <w:szCs w:val="28"/>
        </w:rPr>
        <w:t>λ</w:t>
      </w:r>
      <w:bookmarkEnd w:id="91"/>
      <w:r w:rsidRPr="00A11646">
        <w:rPr>
          <w:rFonts w:ascii="Times New Roman" w:eastAsia="Times New Roman" w:hAnsi="Times New Roman"/>
          <w:sz w:val="28"/>
          <w:szCs w:val="28"/>
        </w:rPr>
        <w:t xml:space="preserve"> -2 (1,6%) и редких типах  у 2 (1,6%) больных; </w:t>
      </w:r>
      <w:r w:rsidRPr="00A11646">
        <w:rPr>
          <w:rFonts w:ascii="Times New Roman" w:eastAsia="Times New Roman" w:hAnsi="Times New Roman"/>
          <w:sz w:val="28"/>
          <w:szCs w:val="28"/>
          <w:lang w:val="en-US"/>
        </w:rPr>
        <w:t>IV</w:t>
      </w:r>
      <w:r w:rsidRPr="00A11646">
        <w:rPr>
          <w:rFonts w:ascii="Times New Roman" w:eastAsia="Times New Roman" w:hAnsi="Times New Roman"/>
          <w:sz w:val="28"/>
          <w:szCs w:val="28"/>
        </w:rPr>
        <w:t xml:space="preserve"> степень только при редких типах у 1 (0,8%) и  </w:t>
      </w:r>
      <w:r w:rsidRPr="00A11646">
        <w:rPr>
          <w:rFonts w:ascii="Times New Roman" w:eastAsia="Times New Roman" w:hAnsi="Times New Roman"/>
          <w:sz w:val="28"/>
          <w:szCs w:val="28"/>
          <w:lang w:val="en-US"/>
        </w:rPr>
        <w:t>V</w:t>
      </w:r>
      <w:r w:rsidRPr="00A11646">
        <w:rPr>
          <w:rFonts w:ascii="Times New Roman" w:eastAsia="Times New Roman" w:hAnsi="Times New Roman"/>
          <w:sz w:val="28"/>
          <w:szCs w:val="28"/>
        </w:rPr>
        <w:t xml:space="preserve"> степень  при варианте </w:t>
      </w:r>
      <w:r w:rsidRPr="00A11646">
        <w:rPr>
          <w:rFonts w:ascii="Times New Roman" w:hAnsi="Times New Roman"/>
          <w:sz w:val="28"/>
          <w:szCs w:val="28"/>
          <w:lang w:val="en-US"/>
        </w:rPr>
        <w:t>IgG</w:t>
      </w:r>
      <w:r w:rsidRPr="00A11646">
        <w:rPr>
          <w:rFonts w:ascii="Times New Roman" w:eastAsia="Times New Roman" w:hAnsi="Times New Roman"/>
          <w:sz w:val="28"/>
          <w:szCs w:val="28"/>
        </w:rPr>
        <w:t>λ – 1 (0,8%).</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Один из неблагоприятных симптомов MM приводящий к укорочению ОВ являются экстрамедулярные поражения [21, 118], которые наблюдались у 15 (12,1%, у 9 мужчин и 7 женщин) больных в виде поражения мягких тканей лица, волосистой части головы, крупных суставов и головного мозга. В основном они выявлялись у пациентов с вариантом ММ </w:t>
      </w:r>
      <w:bookmarkStart w:id="92" w:name="_Hlk7086223"/>
      <w:r w:rsidRPr="00A11646">
        <w:rPr>
          <w:rFonts w:ascii="Times New Roman" w:hAnsi="Times New Roman"/>
          <w:sz w:val="28"/>
          <w:szCs w:val="28"/>
        </w:rPr>
        <w:t xml:space="preserve">IgGκ (19,6%), </w:t>
      </w:r>
      <w:r w:rsidRPr="00A11646">
        <w:rPr>
          <w:rFonts w:ascii="Times New Roman" w:hAnsi="Times New Roman"/>
          <w:sz w:val="28"/>
          <w:szCs w:val="28"/>
          <w:lang w:val="en-US"/>
        </w:rPr>
        <w:t>IgG</w:t>
      </w:r>
      <w:r w:rsidRPr="00A11646">
        <w:rPr>
          <w:rFonts w:ascii="Times New Roman" w:eastAsia="Times New Roman" w:hAnsi="Times New Roman"/>
          <w:sz w:val="28"/>
          <w:szCs w:val="28"/>
        </w:rPr>
        <w:t>λ (15,4%)</w:t>
      </w:r>
      <w:bookmarkEnd w:id="92"/>
      <w:r w:rsidRPr="00A11646">
        <w:rPr>
          <w:rFonts w:ascii="Times New Roman" w:eastAsia="Times New Roman" w:hAnsi="Times New Roman"/>
          <w:sz w:val="28"/>
          <w:szCs w:val="28"/>
        </w:rPr>
        <w:t xml:space="preserve"> и редких типах (5,0%).</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93" w:name="_Hlk7086316"/>
      <w:r w:rsidRPr="00A11646">
        <w:rPr>
          <w:rFonts w:ascii="Times New Roman" w:hAnsi="Times New Roman"/>
          <w:sz w:val="28"/>
          <w:szCs w:val="28"/>
          <w:lang w:val="uz-Cyrl-UZ"/>
        </w:rPr>
        <w:t xml:space="preserve">Наряду с вышеприведенными клиническими проявлениями у больных ММ также отмечался и анемический синдром различной степени тяжести. Следует отметить тяжелая степень анемии чаще  наблюдалась у больных ММ с иммунохимическим вариантом </w:t>
      </w:r>
      <w:r w:rsidRPr="00A11646">
        <w:rPr>
          <w:rFonts w:ascii="Times New Roman" w:hAnsi="Times New Roman"/>
          <w:sz w:val="28"/>
          <w:szCs w:val="28"/>
          <w:lang w:val="en-US"/>
        </w:rPr>
        <w:t>IgGλ</w:t>
      </w:r>
      <w:r w:rsidRPr="00A11646">
        <w:rPr>
          <w:rFonts w:ascii="Times New Roman" w:hAnsi="Times New Roman"/>
          <w:sz w:val="28"/>
          <w:szCs w:val="28"/>
        </w:rPr>
        <w:t xml:space="preserve"> (50,0%),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(42,9%) и редких типах иммуноглобулина </w:t>
      </w:r>
      <w:r w:rsidRPr="00A11646">
        <w:rPr>
          <w:rFonts w:ascii="Times New Roman" w:hAnsi="Times New Roman"/>
          <w:sz w:val="28"/>
          <w:szCs w:val="28"/>
          <w:lang w:val="uz-Cyrl-UZ"/>
        </w:rPr>
        <w:t xml:space="preserve">(40,0%). Данный факт свидетельствует, что иммунохимический вариант с наличием легкой цепи </w:t>
      </w:r>
      <w:r w:rsidRPr="00A11646">
        <w:rPr>
          <w:rFonts w:ascii="Times New Roman" w:eastAsia="Times New Roman" w:hAnsi="Times New Roman"/>
          <w:sz w:val="28"/>
          <w:szCs w:val="28"/>
        </w:rPr>
        <w:t>«</w:t>
      </w:r>
      <w:r w:rsidRPr="00A11646">
        <w:rPr>
          <w:rFonts w:ascii="Times New Roman" w:hAnsi="Times New Roman"/>
          <w:sz w:val="28"/>
          <w:szCs w:val="28"/>
          <w:lang w:val="uz-Cyrl-UZ"/>
        </w:rPr>
        <w:t>λ</w:t>
      </w:r>
      <w:r w:rsidRPr="00A11646">
        <w:rPr>
          <w:rFonts w:ascii="Times New Roman" w:eastAsia="Times New Roman" w:hAnsi="Times New Roman"/>
          <w:sz w:val="28"/>
          <w:szCs w:val="28"/>
        </w:rPr>
        <w:t xml:space="preserve">» </w:t>
      </w:r>
      <w:r w:rsidRPr="00A11646">
        <w:rPr>
          <w:rFonts w:ascii="Times New Roman" w:hAnsi="Times New Roman"/>
          <w:sz w:val="28"/>
          <w:szCs w:val="28"/>
          <w:lang w:val="uz-Cyrl-UZ"/>
        </w:rPr>
        <w:t xml:space="preserve">и редких типов иммуноглобулина имеют наиболее тяжелое течение в сравнении с вариантами с наличием </w:t>
      </w:r>
      <w:r w:rsidRPr="00A11646">
        <w:rPr>
          <w:rFonts w:ascii="Times New Roman" w:eastAsia="Times New Roman" w:hAnsi="Times New Roman"/>
          <w:sz w:val="28"/>
          <w:szCs w:val="28"/>
        </w:rPr>
        <w:t>«</w:t>
      </w:r>
      <w:r w:rsidRPr="00A11646">
        <w:rPr>
          <w:rFonts w:ascii="Times New Roman" w:hAnsi="Times New Roman"/>
          <w:sz w:val="28"/>
          <w:szCs w:val="28"/>
          <w:lang w:val="uz-Cyrl-UZ"/>
        </w:rPr>
        <w:t>κ</w:t>
      </w:r>
      <w:r w:rsidRPr="00A11646">
        <w:rPr>
          <w:rFonts w:ascii="Times New Roman" w:eastAsia="Times New Roman" w:hAnsi="Times New Roman"/>
          <w:sz w:val="28"/>
          <w:szCs w:val="28"/>
        </w:rPr>
        <w:t>»</w:t>
      </w:r>
      <w:bookmarkEnd w:id="93"/>
      <w:r w:rsidRPr="00A11646">
        <w:rPr>
          <w:rFonts w:ascii="Times New Roman" w:eastAsia="Times New Roman" w:hAnsi="Times New Roman"/>
          <w:sz w:val="28"/>
          <w:szCs w:val="28"/>
        </w:rPr>
        <w:t xml:space="preserve"> (рис 3.1.5.)</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3.1.5. Частота распределения (%) анемического синдрома по степеням тяжести при различных иммунохимических вариантах ММ.</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bookmarkStart w:id="94" w:name="_Hlk7086956"/>
      <w:r w:rsidRPr="00A11646">
        <w:rPr>
          <w:rFonts w:ascii="Times New Roman" w:hAnsi="Times New Roman"/>
          <w:sz w:val="28"/>
          <w:szCs w:val="28"/>
        </w:rPr>
        <w:lastRenderedPageBreak/>
        <w:t xml:space="preserve">Таким образом, </w:t>
      </w:r>
      <w:bookmarkStart w:id="95" w:name="_Hlk6675902"/>
      <w:r w:rsidRPr="00A11646">
        <w:rPr>
          <w:rFonts w:ascii="Times New Roman" w:hAnsi="Times New Roman"/>
          <w:sz w:val="28"/>
          <w:szCs w:val="28"/>
        </w:rPr>
        <w:t xml:space="preserve">среди изученных параметров выявлены некоторые особенности, которые заключаются в большей частоте встречаемости </w:t>
      </w:r>
      <w:r w:rsidRPr="00A11646">
        <w:rPr>
          <w:rFonts w:ascii="Times New Roman" w:hAnsi="Times New Roman"/>
          <w:sz w:val="28"/>
          <w:szCs w:val="28"/>
          <w:lang w:val="uz-Cyrl-UZ"/>
        </w:rPr>
        <w:t xml:space="preserve">ММ </w:t>
      </w:r>
      <w:r w:rsidRPr="00A11646">
        <w:rPr>
          <w:rFonts w:ascii="Times New Roman" w:hAnsi="Times New Roman"/>
          <w:sz w:val="28"/>
          <w:szCs w:val="28"/>
        </w:rPr>
        <w:t>среди лиц женского пола</w:t>
      </w:r>
      <w:r w:rsidRPr="00A11646">
        <w:rPr>
          <w:rFonts w:ascii="Times New Roman" w:hAnsi="Times New Roman"/>
          <w:sz w:val="28"/>
          <w:szCs w:val="28"/>
          <w:lang w:val="uz-Cyrl-UZ"/>
        </w:rPr>
        <w:t xml:space="preserve">, а также </w:t>
      </w:r>
      <w:r w:rsidRPr="00A11646">
        <w:rPr>
          <w:rFonts w:ascii="Times New Roman" w:hAnsi="Times New Roman"/>
          <w:sz w:val="28"/>
          <w:szCs w:val="28"/>
        </w:rPr>
        <w:t xml:space="preserve">в возрастной категории от 40 до 70 лет. По литературным данным частота встречаемости </w:t>
      </w:r>
      <w:bookmarkStart w:id="96" w:name="_Hlk5962972"/>
      <w:r w:rsidRPr="00A11646">
        <w:rPr>
          <w:rFonts w:ascii="Times New Roman" w:hAnsi="Times New Roman"/>
          <w:sz w:val="28"/>
          <w:szCs w:val="28"/>
          <w:lang w:val="en-US"/>
        </w:rPr>
        <w:t>G</w:t>
      </w:r>
      <w:r w:rsidRPr="00A11646">
        <w:rPr>
          <w:rFonts w:ascii="Times New Roman" w:hAnsi="Times New Roman"/>
          <w:sz w:val="28"/>
          <w:szCs w:val="28"/>
        </w:rPr>
        <w:t>-</w:t>
      </w:r>
      <w:bookmarkEnd w:id="96"/>
      <w:r w:rsidRPr="00A11646">
        <w:rPr>
          <w:rFonts w:ascii="Times New Roman" w:hAnsi="Times New Roman"/>
          <w:sz w:val="28"/>
          <w:szCs w:val="28"/>
        </w:rPr>
        <w:t xml:space="preserve">  и А - миеломы составляют 55-65% и 20-25%, соответственно [7, с.140]. Тогда как по нашим данным встречаемость </w:t>
      </w:r>
      <w:r w:rsidRPr="00A11646">
        <w:rPr>
          <w:rFonts w:ascii="Times New Roman" w:hAnsi="Times New Roman"/>
          <w:sz w:val="28"/>
          <w:szCs w:val="28"/>
          <w:lang w:val="en-US"/>
        </w:rPr>
        <w:t>G</w:t>
      </w:r>
      <w:r w:rsidRPr="00A11646">
        <w:rPr>
          <w:rFonts w:ascii="Times New Roman" w:hAnsi="Times New Roman"/>
          <w:sz w:val="28"/>
          <w:szCs w:val="28"/>
        </w:rPr>
        <w:t xml:space="preserve"> - миеломы составила 66,1%, а А - миеломы -17,7%. Из этих данных очевидно, что встречаемость А-миеломы в Узбекистане в 1,13 раз меньше в сравнение с таковой приведенной в литературе.</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 xml:space="preserve">Наряду с этим изучение встречаемости иммунохимических вариантов показало следующее: </w:t>
      </w:r>
      <w:bookmarkStart w:id="97" w:name="_Hlk7085465"/>
      <w:r w:rsidRPr="00A11646">
        <w:rPr>
          <w:rFonts w:ascii="Times New Roman" w:hAnsi="Times New Roman"/>
          <w:sz w:val="28"/>
          <w:szCs w:val="28"/>
        </w:rPr>
        <w:t>встречаемость ММ IgGκ превышала таковую среди других вариантов</w:t>
      </w:r>
      <w:r w:rsidRPr="00A11646">
        <w:rPr>
          <w:rFonts w:ascii="Times New Roman" w:hAnsi="Times New Roman"/>
          <w:sz w:val="28"/>
          <w:szCs w:val="28"/>
          <w:lang w:val="uz-Cyrl-UZ"/>
        </w:rPr>
        <w:t xml:space="preserve">, так соотношение к </w:t>
      </w:r>
      <w:r w:rsidRPr="00A11646">
        <w:rPr>
          <w:rFonts w:ascii="Times New Roman" w:hAnsi="Times New Roman"/>
          <w:sz w:val="28"/>
          <w:szCs w:val="28"/>
          <w:lang w:val="en-US"/>
        </w:rPr>
        <w:t>IgG</w:t>
      </w:r>
      <w:r w:rsidRPr="00A11646">
        <w:rPr>
          <w:rFonts w:ascii="Times New Roman" w:eastAsia="Times New Roman" w:hAnsi="Times New Roman"/>
          <w:sz w:val="28"/>
          <w:szCs w:val="28"/>
        </w:rPr>
        <w:t>λ</w:t>
      </w:r>
      <w:r w:rsidRPr="00A11646">
        <w:rPr>
          <w:rFonts w:ascii="Times New Roman" w:eastAsia="Times New Roman" w:hAnsi="Times New Roman"/>
          <w:sz w:val="28"/>
          <w:szCs w:val="28"/>
          <w:lang w:val="uz-Cyrl-UZ"/>
        </w:rPr>
        <w:t xml:space="preserve"> составило 2,2:1, к </w:t>
      </w:r>
      <w:r w:rsidRPr="00A11646">
        <w:rPr>
          <w:rFonts w:ascii="Times New Roman" w:hAnsi="Times New Roman"/>
          <w:sz w:val="28"/>
          <w:szCs w:val="28"/>
          <w:lang w:val="en-US"/>
        </w:rPr>
        <w:t>IgA</w:t>
      </w:r>
      <w:r w:rsidRPr="00A11646">
        <w:rPr>
          <w:rFonts w:ascii="Times New Roman" w:eastAsia="Times New Roman" w:hAnsi="Times New Roman"/>
          <w:sz w:val="28"/>
          <w:szCs w:val="28"/>
        </w:rPr>
        <w:t>κ-</w:t>
      </w:r>
      <w:r w:rsidRPr="00A11646">
        <w:rPr>
          <w:rFonts w:ascii="Times New Roman" w:eastAsia="Times New Roman" w:hAnsi="Times New Roman"/>
          <w:sz w:val="28"/>
          <w:szCs w:val="28"/>
          <w:lang w:val="uz-Cyrl-UZ"/>
        </w:rPr>
        <w:t xml:space="preserve"> 7:1, к </w:t>
      </w:r>
      <w:r w:rsidRPr="00A11646">
        <w:rPr>
          <w:rFonts w:ascii="Times New Roman" w:hAnsi="Times New Roman"/>
          <w:sz w:val="28"/>
          <w:szCs w:val="28"/>
          <w:lang w:val="en-US"/>
        </w:rPr>
        <w:t>IgA</w:t>
      </w:r>
      <w:r w:rsidRPr="00A11646">
        <w:rPr>
          <w:rFonts w:ascii="Times New Roman" w:eastAsia="Times New Roman" w:hAnsi="Times New Roman"/>
          <w:sz w:val="28"/>
          <w:szCs w:val="28"/>
        </w:rPr>
        <w:t>λ -</w:t>
      </w:r>
      <w:r w:rsidRPr="00A11646">
        <w:rPr>
          <w:rFonts w:ascii="Times New Roman" w:eastAsia="Times New Roman" w:hAnsi="Times New Roman"/>
          <w:sz w:val="28"/>
          <w:szCs w:val="28"/>
          <w:lang w:val="uz-Cyrl-UZ"/>
        </w:rPr>
        <w:t xml:space="preserve"> 4:1 и к редким вариантам 2,8:1.  </w:t>
      </w:r>
      <w:bookmarkEnd w:id="97"/>
    </w:p>
    <w:p w:rsidR="00C328C9"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 xml:space="preserve">Клиническая картина у больных ММ, включенных в исследование, характеризовалась свойственными для ММ проявлениями, среди которых преобладали такие как оссалгия и патологические переломы. В свою очередь эти проявления являются одними из важных диагностических общепринятых стандартных критериев ММ. Наличие у больных </w:t>
      </w:r>
      <w:r w:rsidRPr="00A11646">
        <w:rPr>
          <w:rFonts w:ascii="Times New Roman" w:hAnsi="Times New Roman"/>
          <w:sz w:val="28"/>
          <w:szCs w:val="28"/>
          <w:lang w:val="en-US"/>
        </w:rPr>
        <w:t>III</w:t>
      </w:r>
      <w:r w:rsidRPr="00A11646">
        <w:rPr>
          <w:rFonts w:ascii="Times New Roman" w:hAnsi="Times New Roman"/>
          <w:sz w:val="28"/>
          <w:szCs w:val="28"/>
          <w:lang w:val="uz-Cyrl-UZ"/>
        </w:rPr>
        <w:t xml:space="preserve"> степени </w:t>
      </w:r>
      <w:r w:rsidRPr="00A11646">
        <w:rPr>
          <w:rFonts w:ascii="Times New Roman" w:hAnsi="Times New Roman"/>
          <w:sz w:val="28"/>
          <w:szCs w:val="28"/>
        </w:rPr>
        <w:t xml:space="preserve">ХПН и анемии, а также очагов экстрамедулярного поражения является критерием тяжелого течения и плохого прогноза  ММ в плане клинического течения, ответа на проводимую терапию, безрецидивной (БР) и общей выживаемости больных (ОВБ). </w:t>
      </w:r>
    </w:p>
    <w:p w:rsidR="000A2927" w:rsidRPr="000A2927" w:rsidRDefault="000A2927" w:rsidP="00C328C9">
      <w:pPr>
        <w:autoSpaceDE w:val="0"/>
        <w:autoSpaceDN w:val="0"/>
        <w:adjustRightInd w:val="0"/>
        <w:spacing w:after="0" w:line="360" w:lineRule="auto"/>
        <w:ind w:firstLine="708"/>
        <w:jc w:val="both"/>
        <w:rPr>
          <w:rFonts w:ascii="Times New Roman" w:hAnsi="Times New Roman"/>
          <w:sz w:val="28"/>
          <w:szCs w:val="28"/>
          <w:lang w:val="uz-Cyrl-UZ"/>
        </w:rPr>
      </w:pP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lang w:val="uz-Cyrl-UZ"/>
        </w:rPr>
      </w:pPr>
      <w:bookmarkStart w:id="98" w:name="_Hlk8235109"/>
      <w:bookmarkEnd w:id="60"/>
      <w:bookmarkEnd w:id="94"/>
      <w:bookmarkEnd w:id="95"/>
      <w:r w:rsidRPr="00A11646">
        <w:rPr>
          <w:rFonts w:ascii="Times New Roman" w:hAnsi="Times New Roman"/>
          <w:b/>
          <w:sz w:val="28"/>
          <w:szCs w:val="28"/>
          <w:lang w:val="uz-Cyrl-UZ"/>
        </w:rPr>
        <w:t>§ 3.2. Особенности лабораторных проявлений множественной миеломы в Узбекистане</w:t>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lang w:val="uz-Cyrl-UZ"/>
        </w:rPr>
      </w:pPr>
      <w:r w:rsidRPr="00A11646">
        <w:rPr>
          <w:rFonts w:ascii="Times New Roman" w:hAnsi="Times New Roman"/>
          <w:b/>
          <w:sz w:val="28"/>
          <w:szCs w:val="28"/>
          <w:lang w:val="uz-Cyrl-UZ"/>
        </w:rPr>
        <w:t>3.2.1. Состояние показателей периферической крови и костного мозга у больных ММ</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99" w:name="_Hlk7087392"/>
      <w:bookmarkEnd w:id="98"/>
      <w:r w:rsidRPr="00A11646">
        <w:rPr>
          <w:rFonts w:ascii="Times New Roman" w:hAnsi="Times New Roman"/>
          <w:sz w:val="28"/>
          <w:szCs w:val="28"/>
          <w:lang w:val="uz-Cyrl-UZ"/>
        </w:rPr>
        <w:t xml:space="preserve">Изучение общего клинического анализ крови  и состояния  костного мозга имеют весомое значение в диагностике ММ. Проведение этих </w:t>
      </w:r>
      <w:r w:rsidRPr="00A11646">
        <w:rPr>
          <w:rFonts w:ascii="Times New Roman" w:hAnsi="Times New Roman"/>
          <w:sz w:val="28"/>
          <w:szCs w:val="28"/>
          <w:lang w:val="uz-Cyrl-UZ"/>
        </w:rPr>
        <w:lastRenderedPageBreak/>
        <w:t xml:space="preserve">методов исследования позволяют выявить наличие ММ, определить стадию и прогноз течения заболевавния.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 xml:space="preserve">Литературные данные свидетельствуют, что при ММ в общем анализе крови выявляются изменения со стороны практически всех его показетелей. Результаты наших исследований не противоречат этим данным.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 xml:space="preserve">Среди всех </w:t>
      </w:r>
      <w:r w:rsidRPr="00A11646">
        <w:rPr>
          <w:rFonts w:ascii="Times New Roman" w:hAnsi="Times New Roman"/>
          <w:sz w:val="28"/>
          <w:szCs w:val="28"/>
        </w:rPr>
        <w:t>(</w:t>
      </w:r>
      <w:r w:rsidRPr="00A11646">
        <w:rPr>
          <w:rFonts w:ascii="Times New Roman" w:hAnsi="Times New Roman"/>
          <w:sz w:val="28"/>
          <w:szCs w:val="28"/>
          <w:lang w:val="en-US"/>
        </w:rPr>
        <w:t>n</w:t>
      </w:r>
      <w:r w:rsidRPr="00A11646">
        <w:rPr>
          <w:rFonts w:ascii="Times New Roman" w:hAnsi="Times New Roman"/>
          <w:sz w:val="28"/>
          <w:szCs w:val="28"/>
        </w:rPr>
        <w:t>=124) обследованных больных</w:t>
      </w:r>
      <w:r w:rsidRPr="00A11646">
        <w:rPr>
          <w:rFonts w:ascii="Times New Roman" w:hAnsi="Times New Roman"/>
          <w:sz w:val="28"/>
          <w:szCs w:val="28"/>
          <w:lang w:val="uz-Cyrl-UZ"/>
        </w:rPr>
        <w:t xml:space="preserve"> у 90,2% пациентов на момент первичного установления диагноза отмечалось снижение уровня гемоглобина </w:t>
      </w:r>
      <w:r w:rsidRPr="00A11646">
        <w:rPr>
          <w:rFonts w:ascii="Times New Roman" w:hAnsi="Times New Roman"/>
          <w:sz w:val="28"/>
          <w:szCs w:val="28"/>
        </w:rPr>
        <w:t>(</w:t>
      </w:r>
      <w:bookmarkStart w:id="100" w:name="_Hlk5966415"/>
      <w:r w:rsidRPr="00A11646">
        <w:rPr>
          <w:rFonts w:ascii="Times New Roman" w:hAnsi="Times New Roman"/>
          <w:sz w:val="28"/>
          <w:szCs w:val="28"/>
          <w:lang w:val="en-US"/>
        </w:rPr>
        <w:t>Hb</w:t>
      </w:r>
      <w:bookmarkEnd w:id="100"/>
      <w:r w:rsidRPr="00A11646">
        <w:rPr>
          <w:rFonts w:ascii="Times New Roman" w:hAnsi="Times New Roman"/>
          <w:sz w:val="28"/>
          <w:szCs w:val="28"/>
        </w:rPr>
        <w:t>)</w:t>
      </w:r>
      <w:r w:rsidRPr="00A11646">
        <w:rPr>
          <w:rFonts w:ascii="Times New Roman" w:hAnsi="Times New Roman"/>
          <w:sz w:val="28"/>
          <w:szCs w:val="28"/>
          <w:lang w:val="uz-Cyrl-UZ"/>
        </w:rPr>
        <w:t xml:space="preserve">  (от 119 до 28 г/л) и количества эритроцитов (от 3,86 до 0, 66 Х 10</w:t>
      </w:r>
      <w:r w:rsidRPr="00A11646">
        <w:rPr>
          <w:rFonts w:ascii="Times New Roman" w:hAnsi="Times New Roman"/>
          <w:sz w:val="28"/>
          <w:szCs w:val="28"/>
          <w:vertAlign w:val="superscript"/>
          <w:lang w:val="uz-Cyrl-UZ"/>
        </w:rPr>
        <w:t>12</w:t>
      </w:r>
      <w:r w:rsidRPr="00A11646">
        <w:rPr>
          <w:rFonts w:ascii="Times New Roman" w:hAnsi="Times New Roman"/>
          <w:sz w:val="28"/>
          <w:szCs w:val="28"/>
          <w:lang w:val="uz-Cyrl-UZ"/>
        </w:rPr>
        <w:t xml:space="preserve">/л). У 24 (19,4%) больных ММ отмечалось снижение уровня </w:t>
      </w:r>
      <w:bookmarkStart w:id="101" w:name="_Hlk5974102"/>
      <w:r w:rsidRPr="00A11646">
        <w:rPr>
          <w:rFonts w:ascii="Times New Roman" w:hAnsi="Times New Roman"/>
          <w:sz w:val="28"/>
          <w:szCs w:val="28"/>
          <w:lang w:val="en-US"/>
        </w:rPr>
        <w:t>Hb</w:t>
      </w:r>
      <w:r w:rsidRPr="00A11646">
        <w:rPr>
          <w:rFonts w:ascii="Times New Roman" w:hAnsi="Times New Roman"/>
          <w:sz w:val="28"/>
          <w:szCs w:val="28"/>
          <w:lang w:val="uz-Cyrl-UZ"/>
        </w:rPr>
        <w:t xml:space="preserve"> ниже  119 - 91 г/л,  у 46 (37,1%) - 90 - 71 г/л, у 45 (36,3%) - 70 г/л и ниже</w:t>
      </w:r>
      <w:bookmarkEnd w:id="101"/>
      <w:r w:rsidRPr="00A11646">
        <w:rPr>
          <w:rFonts w:ascii="Times New Roman" w:hAnsi="Times New Roman"/>
          <w:sz w:val="28"/>
          <w:szCs w:val="28"/>
          <w:lang w:val="uz-Cyrl-UZ"/>
        </w:rPr>
        <w:t xml:space="preserve">. В разрезе стадии заболевания эти значения составили следующие значения: у больных с А стадией заболевания </w:t>
      </w:r>
      <w:bookmarkStart w:id="102" w:name="_Hlk5976152"/>
      <w:bookmarkStart w:id="103" w:name="_Hlk5974289"/>
      <w:r w:rsidRPr="00A11646">
        <w:rPr>
          <w:rFonts w:ascii="Times New Roman" w:hAnsi="Times New Roman"/>
          <w:sz w:val="28"/>
          <w:szCs w:val="28"/>
          <w:lang w:val="en-US"/>
        </w:rPr>
        <w:t>Hb</w:t>
      </w:r>
      <w:bookmarkEnd w:id="102"/>
      <w:r w:rsidRPr="00A11646">
        <w:rPr>
          <w:rFonts w:ascii="Times New Roman" w:hAnsi="Times New Roman"/>
          <w:sz w:val="28"/>
          <w:szCs w:val="28"/>
          <w:lang w:val="uz-Cyrl-UZ"/>
        </w:rPr>
        <w:t xml:space="preserve"> ниже 119 - 91 г/л отмечалось у 13 (10,5%), в диапазоне 90 - 71 г/л у 23 (18,5%),   70 г/л и ниже у 20 (16,1%)</w:t>
      </w:r>
      <w:bookmarkEnd w:id="103"/>
      <w:r w:rsidRPr="00A11646">
        <w:rPr>
          <w:rFonts w:ascii="Times New Roman" w:hAnsi="Times New Roman"/>
          <w:sz w:val="28"/>
          <w:szCs w:val="28"/>
          <w:lang w:val="uz-Cyrl-UZ"/>
        </w:rPr>
        <w:t xml:space="preserve">, тогда как у больных с В стадией </w:t>
      </w:r>
      <w:r w:rsidRPr="00A11646">
        <w:rPr>
          <w:rFonts w:ascii="Times New Roman" w:hAnsi="Times New Roman"/>
          <w:sz w:val="28"/>
          <w:szCs w:val="28"/>
          <w:lang w:val="en-US"/>
        </w:rPr>
        <w:t>Hb</w:t>
      </w:r>
      <w:r w:rsidRPr="00A11646">
        <w:rPr>
          <w:rFonts w:ascii="Times New Roman" w:hAnsi="Times New Roman"/>
          <w:sz w:val="28"/>
          <w:szCs w:val="28"/>
          <w:lang w:val="uz-Cyrl-UZ"/>
        </w:rPr>
        <w:t xml:space="preserve"> ниже 119 - 91 г/л отмечался у 11 (8,9%), в пределах 90 - 71 г/л у 19 (15,3%),   70 г/л и ниже у 25 (20,2%) больных ММ (рис. 3.2.1.1.).</w:t>
      </w:r>
    </w:p>
    <w:bookmarkEnd w:id="99"/>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3.2.1.1. Процентное соотношение степени снижения гемоглобина в зависимости от стадии А и В.</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104" w:name="_Hlk7087415"/>
      <w:r w:rsidRPr="00A11646">
        <w:rPr>
          <w:rFonts w:ascii="Times New Roman" w:hAnsi="Times New Roman"/>
          <w:sz w:val="28"/>
          <w:szCs w:val="28"/>
          <w:lang w:val="uz-Cyrl-UZ"/>
        </w:rPr>
        <w:lastRenderedPageBreak/>
        <w:t xml:space="preserve">Анализируя данные  значений Hb и эритроцитов в зависимости от иммунохимических вариантов ММ выявлено наибольшее снижение этих показателей среди больных с наличием </w:t>
      </w:r>
      <w:bookmarkStart w:id="105" w:name="_Hlk5978540"/>
      <w:r w:rsidRPr="00A11646">
        <w:rPr>
          <w:rFonts w:ascii="Times New Roman" w:hAnsi="Times New Roman"/>
          <w:sz w:val="28"/>
          <w:szCs w:val="28"/>
          <w:lang w:val="uz-Cyrl-UZ"/>
        </w:rPr>
        <w:t xml:space="preserve">легкой </w:t>
      </w:r>
      <w:bookmarkStart w:id="106" w:name="_Hlk5966365"/>
      <w:r w:rsidRPr="00A11646">
        <w:rPr>
          <w:rFonts w:ascii="Times New Roman" w:hAnsi="Times New Roman"/>
          <w:sz w:val="28"/>
          <w:szCs w:val="28"/>
        </w:rPr>
        <w:t>«</w:t>
      </w:r>
      <w:r w:rsidRPr="00A11646">
        <w:rPr>
          <w:rFonts w:ascii="Times New Roman" w:hAnsi="Times New Roman"/>
          <w:sz w:val="28"/>
          <w:szCs w:val="28"/>
          <w:lang w:val="uz-Cyrl-UZ"/>
        </w:rPr>
        <w:t>λ</w:t>
      </w:r>
      <w:r w:rsidRPr="00A11646">
        <w:rPr>
          <w:rFonts w:ascii="Times New Roman" w:hAnsi="Times New Roman"/>
          <w:sz w:val="28"/>
          <w:szCs w:val="28"/>
        </w:rPr>
        <w:t>»</w:t>
      </w:r>
      <w:bookmarkEnd w:id="106"/>
      <w:r w:rsidRPr="00A11646">
        <w:rPr>
          <w:rFonts w:ascii="Times New Roman" w:hAnsi="Times New Roman"/>
          <w:sz w:val="28"/>
          <w:szCs w:val="28"/>
          <w:lang w:val="uz-Cyrl-UZ"/>
        </w:rPr>
        <w:t>цепью</w:t>
      </w:r>
      <w:bookmarkEnd w:id="105"/>
      <w:r w:rsidRPr="00A11646">
        <w:rPr>
          <w:rFonts w:ascii="Times New Roman" w:hAnsi="Times New Roman"/>
          <w:sz w:val="28"/>
          <w:szCs w:val="28"/>
          <w:lang w:val="uz-Cyrl-UZ"/>
        </w:rPr>
        <w:t xml:space="preserve">, тогда как у больных с легкой цепью «κ» уровень  </w:t>
      </w:r>
      <w:r w:rsidRPr="00A11646">
        <w:rPr>
          <w:rFonts w:ascii="Times New Roman" w:hAnsi="Times New Roman"/>
          <w:sz w:val="28"/>
          <w:szCs w:val="28"/>
          <w:lang w:val="en-US"/>
        </w:rPr>
        <w:t>Hb</w:t>
      </w:r>
      <w:r w:rsidRPr="00A11646">
        <w:rPr>
          <w:rFonts w:ascii="Times New Roman" w:hAnsi="Times New Roman"/>
          <w:sz w:val="28"/>
          <w:szCs w:val="28"/>
        </w:rPr>
        <w:t xml:space="preserve"> и содержание эритроцитов в среднем превышал эти значения в 1,1 и  1,2 раза, соответственно (р&lt;0,001).</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 xml:space="preserve">Следует отметить, что у больных ММ анемия имела нормохромный характер, развитие которой во-первых, связано </w:t>
      </w:r>
      <w:r w:rsidRPr="00A11646">
        <w:rPr>
          <w:rFonts w:ascii="Times New Roman" w:hAnsi="Times New Roman"/>
          <w:sz w:val="28"/>
          <w:szCs w:val="28"/>
        </w:rPr>
        <w:t xml:space="preserve">с развитием </w:t>
      </w:r>
      <w:r w:rsidRPr="00A11646">
        <w:rPr>
          <w:rFonts w:ascii="Times New Roman" w:hAnsi="Times New Roman"/>
          <w:sz w:val="28"/>
          <w:szCs w:val="28"/>
          <w:lang w:val="uz-Cyrl-UZ"/>
        </w:rPr>
        <w:t xml:space="preserve">угнетения кроветворения, во-вторых, у больных с поражением почек и вследствие снижения синтеза почками эндогенного эритропоэтина [34, с. 371-378] </w:t>
      </w:r>
      <w:bookmarkEnd w:id="104"/>
      <w:r w:rsidRPr="00A11646">
        <w:rPr>
          <w:rFonts w:ascii="Times New Roman" w:hAnsi="Times New Roman"/>
          <w:sz w:val="28"/>
          <w:szCs w:val="28"/>
          <w:lang w:val="uz-Cyrl-UZ"/>
        </w:rPr>
        <w:t>(табл. 3.2.1.1.).</w:t>
      </w:r>
    </w:p>
    <w:p w:rsidR="00C328C9" w:rsidRPr="00A11646" w:rsidRDefault="00C328C9" w:rsidP="00C328C9">
      <w:pPr>
        <w:autoSpaceDE w:val="0"/>
        <w:autoSpaceDN w:val="0"/>
        <w:adjustRightInd w:val="0"/>
        <w:spacing w:after="0" w:line="360" w:lineRule="auto"/>
        <w:ind w:firstLine="708"/>
        <w:jc w:val="right"/>
        <w:rPr>
          <w:rFonts w:ascii="Times New Roman" w:hAnsi="Times New Roman"/>
          <w:b/>
          <w:sz w:val="28"/>
          <w:szCs w:val="28"/>
          <w:lang w:val="uz-Cyrl-UZ"/>
        </w:rPr>
      </w:pPr>
      <w:r w:rsidRPr="00A11646">
        <w:rPr>
          <w:rFonts w:ascii="Times New Roman" w:hAnsi="Times New Roman"/>
          <w:b/>
          <w:sz w:val="28"/>
          <w:szCs w:val="28"/>
          <w:lang w:val="uz-Cyrl-UZ"/>
        </w:rPr>
        <w:t>Таблица 3.2.1.1.</w:t>
      </w:r>
    </w:p>
    <w:p w:rsidR="00C328C9" w:rsidRPr="00A11646" w:rsidRDefault="00C328C9" w:rsidP="00C328C9">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Показатели общего клинического анализа крови до лечения у больных ММ в зависимости от иммунохимического варианта</w:t>
      </w:r>
    </w:p>
    <w:p w:rsidR="00C328C9" w:rsidRPr="00A11646" w:rsidRDefault="00C328C9" w:rsidP="00C328C9">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(М±</w:t>
      </w:r>
      <w:r w:rsidRPr="00A11646">
        <w:rPr>
          <w:rFonts w:ascii="Times New Roman" w:eastAsia="Times New Roman" w:hAnsi="Times New Roman"/>
          <w:b/>
          <w:sz w:val="28"/>
          <w:szCs w:val="28"/>
          <w:lang w:val="en-US"/>
        </w:rPr>
        <w:t>m)</w:t>
      </w:r>
    </w:p>
    <w:p w:rsidR="00C328C9" w:rsidRPr="00A11646" w:rsidRDefault="00C328C9" w:rsidP="00C328C9">
      <w:pPr>
        <w:spacing w:after="0" w:line="240" w:lineRule="auto"/>
        <w:jc w:val="center"/>
        <w:rPr>
          <w:rFonts w:ascii="Times New Roman" w:eastAsia="Times New Roman" w:hAnsi="Times New Roman"/>
          <w:b/>
          <w:sz w:val="28"/>
          <w:szCs w:val="28"/>
        </w:rPr>
      </w:pPr>
    </w:p>
    <w:tbl>
      <w:tblPr>
        <w:tblStyle w:val="a6"/>
        <w:tblW w:w="9351" w:type="dxa"/>
        <w:tblLayout w:type="fixed"/>
        <w:tblLook w:val="04A0"/>
      </w:tblPr>
      <w:tblGrid>
        <w:gridCol w:w="421"/>
        <w:gridCol w:w="425"/>
        <w:gridCol w:w="1701"/>
        <w:gridCol w:w="1701"/>
        <w:gridCol w:w="1985"/>
        <w:gridCol w:w="1276"/>
        <w:gridCol w:w="1842"/>
      </w:tblGrid>
      <w:tr w:rsidR="00C328C9" w:rsidRPr="00A11646" w:rsidTr="00C328C9">
        <w:trPr>
          <w:trHeight w:val="654"/>
        </w:trPr>
        <w:tc>
          <w:tcPr>
            <w:tcW w:w="846" w:type="dxa"/>
            <w:gridSpan w:val="2"/>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1701"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Гемогло-</w:t>
            </w:r>
          </w:p>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бин, г/л</w:t>
            </w:r>
          </w:p>
        </w:tc>
        <w:tc>
          <w:tcPr>
            <w:tcW w:w="1701" w:type="dxa"/>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Эритро-циты, </w:t>
            </w:r>
            <w:r w:rsidRPr="00A11646">
              <w:rPr>
                <w:rFonts w:ascii="Times New Roman" w:eastAsia="Times New Roman" w:hAnsi="Times New Roman"/>
                <w:sz w:val="28"/>
                <w:szCs w:val="28"/>
                <w:lang w:val="uz-Cyrl-UZ"/>
              </w:rPr>
              <w:t>Х10</w:t>
            </w:r>
            <w:r w:rsidRPr="00A11646">
              <w:rPr>
                <w:rFonts w:ascii="Times New Roman" w:eastAsia="Times New Roman" w:hAnsi="Times New Roman"/>
                <w:sz w:val="28"/>
                <w:szCs w:val="28"/>
                <w:vertAlign w:val="superscript"/>
                <w:lang w:val="uz-Cyrl-UZ"/>
              </w:rPr>
              <w:t>12</w:t>
            </w:r>
            <w:r w:rsidRPr="00A11646">
              <w:rPr>
                <w:rFonts w:ascii="Times New Roman" w:eastAsia="Times New Roman" w:hAnsi="Times New Roman"/>
                <w:sz w:val="28"/>
                <w:szCs w:val="28"/>
                <w:lang w:val="uz-Cyrl-UZ"/>
              </w:rPr>
              <w:t>/л</w:t>
            </w:r>
          </w:p>
        </w:tc>
        <w:tc>
          <w:tcPr>
            <w:tcW w:w="1985" w:type="dxa"/>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Тромбоциты, </w:t>
            </w:r>
            <w:r w:rsidRPr="00A11646">
              <w:rPr>
                <w:rFonts w:ascii="Times New Roman" w:eastAsia="Times New Roman" w:hAnsi="Times New Roman"/>
                <w:sz w:val="28"/>
                <w:szCs w:val="28"/>
                <w:lang w:val="uz-Cyrl-UZ"/>
              </w:rPr>
              <w:t>Х10</w:t>
            </w:r>
            <w:r w:rsidRPr="00A11646">
              <w:rPr>
                <w:rFonts w:ascii="Times New Roman" w:eastAsia="Times New Roman" w:hAnsi="Times New Roman"/>
                <w:sz w:val="28"/>
                <w:szCs w:val="28"/>
                <w:vertAlign w:val="superscript"/>
                <w:lang w:val="uz-Cyrl-UZ"/>
              </w:rPr>
              <w:t>9</w:t>
            </w:r>
            <w:r w:rsidRPr="00A11646">
              <w:rPr>
                <w:rFonts w:ascii="Times New Roman" w:eastAsia="Times New Roman" w:hAnsi="Times New Roman"/>
                <w:sz w:val="28"/>
                <w:szCs w:val="28"/>
                <w:lang w:val="uz-Cyrl-UZ"/>
              </w:rPr>
              <w:t>/л</w:t>
            </w:r>
          </w:p>
        </w:tc>
        <w:tc>
          <w:tcPr>
            <w:tcW w:w="1276"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Лейкоциты, </w:t>
            </w:r>
            <w:r w:rsidRPr="00A11646">
              <w:rPr>
                <w:rFonts w:ascii="Times New Roman" w:eastAsia="Times New Roman" w:hAnsi="Times New Roman"/>
                <w:sz w:val="28"/>
                <w:szCs w:val="28"/>
                <w:lang w:val="uz-Cyrl-UZ"/>
              </w:rPr>
              <w:t>Х10</w:t>
            </w:r>
            <w:r w:rsidRPr="00A11646">
              <w:rPr>
                <w:rFonts w:ascii="Times New Roman" w:eastAsia="Times New Roman" w:hAnsi="Times New Roman"/>
                <w:sz w:val="28"/>
                <w:szCs w:val="28"/>
                <w:vertAlign w:val="superscript"/>
                <w:lang w:val="uz-Cyrl-UZ"/>
              </w:rPr>
              <w:t>9</w:t>
            </w:r>
            <w:r w:rsidRPr="00A11646">
              <w:rPr>
                <w:rFonts w:ascii="Times New Roman" w:eastAsia="Times New Roman" w:hAnsi="Times New Roman"/>
                <w:sz w:val="28"/>
                <w:szCs w:val="28"/>
                <w:lang w:val="uz-Cyrl-UZ"/>
              </w:rPr>
              <w:t>/л</w:t>
            </w:r>
          </w:p>
        </w:tc>
        <w:tc>
          <w:tcPr>
            <w:tcW w:w="1842"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СОЭ, мм/ч</w:t>
            </w:r>
          </w:p>
        </w:tc>
      </w:tr>
      <w:tr w:rsidR="00C328C9" w:rsidRPr="00A11646" w:rsidTr="00C328C9">
        <w:tc>
          <w:tcPr>
            <w:tcW w:w="421"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425"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83,3</w:t>
            </w:r>
            <w:bookmarkStart w:id="107" w:name="_Hlk5977078"/>
            <w:r w:rsidRPr="00A11646">
              <w:rPr>
                <w:rFonts w:ascii="Times New Roman" w:eastAsia="Times New Roman" w:hAnsi="Times New Roman"/>
                <w:sz w:val="28"/>
                <w:szCs w:val="28"/>
              </w:rPr>
              <w:t>±</w:t>
            </w:r>
            <w:bookmarkEnd w:id="107"/>
            <w:r w:rsidRPr="00A11646">
              <w:rPr>
                <w:rFonts w:ascii="Times New Roman" w:eastAsia="Times New Roman" w:hAnsi="Times New Roman"/>
                <w:sz w:val="28"/>
                <w:szCs w:val="28"/>
              </w:rPr>
              <w:t>3,2***</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3,0±0,10</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C328C9" w:rsidRPr="00A11646" w:rsidRDefault="00C328C9" w:rsidP="00C328C9">
            <w:pPr>
              <w:spacing w:line="360" w:lineRule="auto"/>
              <w:jc w:val="center"/>
              <w:rPr>
                <w:rFonts w:ascii="Times New Roman" w:eastAsia="Times New Roman" w:hAnsi="Times New Roman"/>
                <w:sz w:val="28"/>
                <w:szCs w:val="28"/>
              </w:rPr>
            </w:pPr>
            <w:bookmarkStart w:id="108" w:name="_Hlk5978247"/>
            <w:r w:rsidRPr="00A11646">
              <w:rPr>
                <w:rFonts w:ascii="Times New Roman" w:eastAsia="Times New Roman" w:hAnsi="Times New Roman"/>
                <w:sz w:val="28"/>
                <w:szCs w:val="28"/>
              </w:rPr>
              <w:t>157,3±11,1</w:t>
            </w:r>
            <w:bookmarkEnd w:id="108"/>
            <w:r w:rsidRPr="00A11646">
              <w:rPr>
                <w:rFonts w:ascii="Times New Roman" w:eastAsia="Times New Roman" w:hAnsi="Times New Roman"/>
                <w:sz w:val="28"/>
                <w:szCs w:val="28"/>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7,1±1,3</w:t>
            </w:r>
          </w:p>
        </w:tc>
        <w:tc>
          <w:tcPr>
            <w:tcW w:w="1842" w:type="dxa"/>
            <w:tcBorders>
              <w:top w:val="single" w:sz="4" w:space="0" w:color="auto"/>
              <w:left w:val="nil"/>
              <w:bottom w:val="single" w:sz="4" w:space="0" w:color="auto"/>
              <w:right w:val="single" w:sz="4" w:space="0" w:color="auto"/>
            </w:tcBorders>
            <w:shd w:val="clear" w:color="000000" w:fill="FFFFFF"/>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bookmarkStart w:id="109" w:name="_Hlk5981831"/>
            <w:r w:rsidRPr="00A11646">
              <w:rPr>
                <w:rFonts w:ascii="Times New Roman" w:eastAsia="Times New Roman" w:hAnsi="Times New Roman"/>
                <w:sz w:val="28"/>
                <w:szCs w:val="28"/>
              </w:rPr>
              <w:t>47,4+4,0</w:t>
            </w:r>
            <w:bookmarkEnd w:id="109"/>
            <w:r w:rsidRPr="00A11646">
              <w:rPr>
                <w:rFonts w:ascii="Times New Roman" w:eastAsia="Times New Roman" w:hAnsi="Times New Roman"/>
                <w:sz w:val="28"/>
                <w:szCs w:val="28"/>
              </w:rPr>
              <w:t>***</w:t>
            </w:r>
          </w:p>
        </w:tc>
      </w:tr>
      <w:tr w:rsidR="00C328C9" w:rsidRPr="00A11646" w:rsidTr="00C328C9">
        <w:tc>
          <w:tcPr>
            <w:tcW w:w="421"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bookmarkStart w:id="110" w:name="_Hlk5981856"/>
          </w:p>
        </w:tc>
        <w:tc>
          <w:tcPr>
            <w:tcW w:w="425"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73,2±5,1***</w:t>
            </w:r>
          </w:p>
        </w:tc>
        <w:tc>
          <w:tcPr>
            <w:tcW w:w="1701"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2,7±0,17***</w:t>
            </w:r>
          </w:p>
        </w:tc>
        <w:tc>
          <w:tcPr>
            <w:tcW w:w="1985"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bookmarkStart w:id="111" w:name="_Hlk5978266"/>
            <w:r w:rsidRPr="00A11646">
              <w:rPr>
                <w:rFonts w:ascii="Times New Roman" w:eastAsia="Times New Roman" w:hAnsi="Times New Roman"/>
                <w:sz w:val="28"/>
                <w:szCs w:val="28"/>
              </w:rPr>
              <w:t>134,3±15,0</w:t>
            </w:r>
            <w:bookmarkEnd w:id="111"/>
            <w:r w:rsidRPr="00A11646">
              <w:rPr>
                <w:rFonts w:ascii="Times New Roman" w:eastAsia="Times New Roman" w:hAnsi="Times New Roman"/>
                <w:sz w:val="28"/>
                <w:szCs w:val="28"/>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5,5±0,53</w:t>
            </w:r>
          </w:p>
        </w:tc>
        <w:tc>
          <w:tcPr>
            <w:tcW w:w="1842"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48,2+5,1***</w:t>
            </w:r>
          </w:p>
        </w:tc>
      </w:tr>
      <w:tr w:rsidR="00C328C9" w:rsidRPr="00A11646" w:rsidTr="00C328C9">
        <w:tc>
          <w:tcPr>
            <w:tcW w:w="421"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rPr>
            </w:pPr>
            <w:bookmarkStart w:id="112" w:name="_Hlk5978294"/>
            <w:r w:rsidRPr="00A11646">
              <w:rPr>
                <w:rFonts w:ascii="Times New Roman" w:eastAsia="Times New Roman" w:hAnsi="Times New Roman"/>
                <w:sz w:val="28"/>
                <w:szCs w:val="28"/>
              </w:rPr>
              <w:t>А</w:t>
            </w:r>
          </w:p>
        </w:tc>
        <w:tc>
          <w:tcPr>
            <w:tcW w:w="425"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80,5±9,4***</w:t>
            </w:r>
          </w:p>
        </w:tc>
        <w:tc>
          <w:tcPr>
            <w:tcW w:w="1701"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3,2±0,31***</w:t>
            </w:r>
          </w:p>
        </w:tc>
        <w:tc>
          <w:tcPr>
            <w:tcW w:w="1985"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143,3±26,6**</w:t>
            </w:r>
          </w:p>
        </w:tc>
        <w:tc>
          <w:tcPr>
            <w:tcW w:w="1276"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7,4±1,9</w:t>
            </w:r>
          </w:p>
        </w:tc>
        <w:tc>
          <w:tcPr>
            <w:tcW w:w="1842"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62,5+12,0***</w:t>
            </w:r>
          </w:p>
        </w:tc>
      </w:tr>
      <w:bookmarkEnd w:id="112"/>
      <w:tr w:rsidR="00C328C9" w:rsidRPr="00A11646" w:rsidTr="00C328C9">
        <w:tc>
          <w:tcPr>
            <w:tcW w:w="421"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p>
        </w:tc>
        <w:tc>
          <w:tcPr>
            <w:tcW w:w="425"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75,0±6,7***</w:t>
            </w:r>
          </w:p>
        </w:tc>
        <w:tc>
          <w:tcPr>
            <w:tcW w:w="1701"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2,7±0,21***</w:t>
            </w:r>
          </w:p>
        </w:tc>
        <w:tc>
          <w:tcPr>
            <w:tcW w:w="1985"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bookmarkStart w:id="113" w:name="_Hlk5978310"/>
            <w:r w:rsidRPr="00A11646">
              <w:rPr>
                <w:rFonts w:ascii="Times New Roman" w:eastAsia="Times New Roman" w:hAnsi="Times New Roman"/>
                <w:sz w:val="28"/>
                <w:szCs w:val="28"/>
              </w:rPr>
              <w:t>107,2±18,5</w:t>
            </w:r>
            <w:bookmarkEnd w:id="113"/>
            <w:r w:rsidRPr="00A11646">
              <w:rPr>
                <w:rFonts w:ascii="Times New Roman" w:eastAsia="Times New Roman" w:hAnsi="Times New Roman"/>
                <w:sz w:val="28"/>
                <w:szCs w:val="28"/>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6,1±1,1</w:t>
            </w:r>
          </w:p>
        </w:tc>
        <w:tc>
          <w:tcPr>
            <w:tcW w:w="1842"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54,2+7,0***</w:t>
            </w:r>
          </w:p>
        </w:tc>
      </w:tr>
      <w:tr w:rsidR="00C328C9" w:rsidRPr="00A11646" w:rsidTr="00C328C9">
        <w:tc>
          <w:tcPr>
            <w:tcW w:w="846" w:type="dxa"/>
            <w:gridSpan w:val="2"/>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Редкие варианты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82,9+6,9***</w:t>
            </w:r>
          </w:p>
        </w:tc>
        <w:tc>
          <w:tcPr>
            <w:tcW w:w="1701"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3,1±0,25***</w:t>
            </w:r>
          </w:p>
        </w:tc>
        <w:tc>
          <w:tcPr>
            <w:tcW w:w="1985"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171,2±22,9*</w:t>
            </w:r>
          </w:p>
        </w:tc>
        <w:tc>
          <w:tcPr>
            <w:tcW w:w="1276"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5,5±0,65</w:t>
            </w:r>
          </w:p>
        </w:tc>
        <w:tc>
          <w:tcPr>
            <w:tcW w:w="1842"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35,6±6,3***</w:t>
            </w:r>
          </w:p>
        </w:tc>
      </w:tr>
    </w:tbl>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bookmarkStart w:id="114" w:name="_Hlk8241173"/>
      <w:bookmarkStart w:id="115" w:name="_Hlk7087434"/>
      <w:bookmarkEnd w:id="110"/>
      <w:r w:rsidRPr="00A11646">
        <w:rPr>
          <w:rFonts w:ascii="Times New Roman" w:hAnsi="Times New Roman"/>
          <w:sz w:val="28"/>
          <w:szCs w:val="28"/>
        </w:rPr>
        <w:t>*- достоверно по сравнению с показателями в контроле (*-P&lt;0,05; **-P&lt;0,01; ***-P&lt;0,001)</w:t>
      </w:r>
      <w:bookmarkEnd w:id="114"/>
      <w:r w:rsidRPr="00A11646">
        <w:rPr>
          <w:rFonts w:ascii="Times New Roman" w:hAnsi="Times New Roman"/>
          <w:sz w:val="28"/>
          <w:szCs w:val="28"/>
        </w:rPr>
        <w:t>.</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На ряду с развитием анемии у</w:t>
      </w:r>
      <w:r w:rsidRPr="00A11646">
        <w:rPr>
          <w:rFonts w:ascii="Times New Roman" w:hAnsi="Times New Roman"/>
          <w:sz w:val="28"/>
          <w:szCs w:val="28"/>
          <w:lang w:val="uz-Cyrl-UZ"/>
        </w:rPr>
        <w:t xml:space="preserve"> обследованных больных отмечалась и тромбоцитопения, при которой количество тромбоцитов снижалось в диапазоне от </w:t>
      </w:r>
      <w:bookmarkStart w:id="116" w:name="_Hlk5977100"/>
      <w:r w:rsidRPr="00A11646">
        <w:rPr>
          <w:rFonts w:ascii="Times New Roman" w:hAnsi="Times New Roman"/>
          <w:sz w:val="28"/>
          <w:szCs w:val="28"/>
          <w:lang w:val="uz-Cyrl-UZ"/>
        </w:rPr>
        <w:t>150 Х 10</w:t>
      </w:r>
      <w:r w:rsidRPr="00A11646">
        <w:rPr>
          <w:rFonts w:ascii="Times New Roman" w:hAnsi="Times New Roman"/>
          <w:sz w:val="28"/>
          <w:szCs w:val="28"/>
          <w:vertAlign w:val="superscript"/>
          <w:lang w:val="uz-Cyrl-UZ"/>
        </w:rPr>
        <w:t>9</w:t>
      </w:r>
      <w:r w:rsidRPr="00A11646">
        <w:rPr>
          <w:rFonts w:ascii="Times New Roman" w:hAnsi="Times New Roman"/>
          <w:sz w:val="28"/>
          <w:szCs w:val="28"/>
          <w:lang w:val="uz-Cyrl-UZ"/>
        </w:rPr>
        <w:t xml:space="preserve">/л </w:t>
      </w:r>
      <w:bookmarkEnd w:id="116"/>
      <w:r w:rsidRPr="00A11646">
        <w:rPr>
          <w:rFonts w:ascii="Times New Roman" w:hAnsi="Times New Roman"/>
          <w:sz w:val="28"/>
          <w:szCs w:val="28"/>
          <w:lang w:val="uz-Cyrl-UZ"/>
        </w:rPr>
        <w:t xml:space="preserve">до единичных значений.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lastRenderedPageBreak/>
        <w:t xml:space="preserve">У больных с А стадией заболевания среднее количество тромбоцитов составило </w:t>
      </w:r>
      <w:bookmarkStart w:id="117" w:name="_Hlk5977993"/>
      <w:r w:rsidRPr="00A11646">
        <w:rPr>
          <w:rFonts w:ascii="Times New Roman" w:hAnsi="Times New Roman"/>
          <w:sz w:val="28"/>
          <w:szCs w:val="28"/>
          <w:lang w:val="uz-Cyrl-UZ"/>
        </w:rPr>
        <w:t>151,9</w:t>
      </w:r>
      <w:r w:rsidRPr="00A11646">
        <w:rPr>
          <w:rFonts w:ascii="Times New Roman" w:eastAsia="Times New Roman" w:hAnsi="Times New Roman"/>
          <w:sz w:val="28"/>
          <w:szCs w:val="28"/>
        </w:rPr>
        <w:t>±</w:t>
      </w:r>
      <w:r w:rsidRPr="00A11646">
        <w:rPr>
          <w:rFonts w:ascii="Times New Roman" w:hAnsi="Times New Roman"/>
          <w:sz w:val="28"/>
          <w:szCs w:val="28"/>
          <w:lang w:val="uz-Cyrl-UZ"/>
        </w:rPr>
        <w:t>18,2 Х 10</w:t>
      </w:r>
      <w:r w:rsidRPr="00A11646">
        <w:rPr>
          <w:rFonts w:ascii="Times New Roman" w:hAnsi="Times New Roman"/>
          <w:sz w:val="28"/>
          <w:szCs w:val="28"/>
          <w:vertAlign w:val="superscript"/>
          <w:lang w:val="uz-Cyrl-UZ"/>
        </w:rPr>
        <w:t>9</w:t>
      </w:r>
      <w:r w:rsidRPr="00A11646">
        <w:rPr>
          <w:rFonts w:ascii="Times New Roman" w:hAnsi="Times New Roman"/>
          <w:sz w:val="28"/>
          <w:szCs w:val="28"/>
          <w:lang w:val="uz-Cyrl-UZ"/>
        </w:rPr>
        <w:t>/л</w:t>
      </w:r>
      <w:bookmarkStart w:id="118" w:name="_Hlk8235698"/>
      <w:bookmarkEnd w:id="117"/>
      <w:r w:rsidR="00AC34B9">
        <w:rPr>
          <w:rFonts w:ascii="Times New Roman" w:hAnsi="Times New Roman"/>
          <w:sz w:val="28"/>
          <w:szCs w:val="28"/>
          <w:lang w:val="uz-Cyrl-UZ"/>
        </w:rPr>
        <w:t xml:space="preserve"> </w:t>
      </w:r>
      <w:r w:rsidRPr="00A11646">
        <w:rPr>
          <w:rFonts w:ascii="Times New Roman" w:hAnsi="Times New Roman"/>
          <w:sz w:val="28"/>
          <w:szCs w:val="28"/>
          <w:lang w:val="uz-Cyrl-UZ"/>
        </w:rPr>
        <w:t>(р&lt;0,001)</w:t>
      </w:r>
      <w:bookmarkEnd w:id="118"/>
      <w:r w:rsidRPr="00A11646">
        <w:rPr>
          <w:rFonts w:ascii="Times New Roman" w:hAnsi="Times New Roman"/>
          <w:sz w:val="28"/>
          <w:szCs w:val="28"/>
          <w:lang w:val="uz-Cyrl-UZ"/>
        </w:rPr>
        <w:t>,  тогда как с В стадией оно равнялось 140,3</w:t>
      </w:r>
      <w:r w:rsidRPr="00A11646">
        <w:rPr>
          <w:rFonts w:ascii="Times New Roman" w:eastAsia="Times New Roman" w:hAnsi="Times New Roman"/>
          <w:sz w:val="28"/>
          <w:szCs w:val="28"/>
        </w:rPr>
        <w:t>±</w:t>
      </w:r>
      <w:r w:rsidRPr="00A11646">
        <w:rPr>
          <w:rFonts w:ascii="Times New Roman" w:hAnsi="Times New Roman"/>
          <w:sz w:val="28"/>
          <w:szCs w:val="28"/>
          <w:lang w:val="uz-Cyrl-UZ"/>
        </w:rPr>
        <w:t>16,2 Х 10</w:t>
      </w:r>
      <w:r w:rsidRPr="00A11646">
        <w:rPr>
          <w:rFonts w:ascii="Times New Roman" w:hAnsi="Times New Roman"/>
          <w:sz w:val="28"/>
          <w:szCs w:val="28"/>
          <w:vertAlign w:val="superscript"/>
          <w:lang w:val="uz-Cyrl-UZ"/>
        </w:rPr>
        <w:t>9</w:t>
      </w:r>
      <w:r w:rsidRPr="00A11646">
        <w:rPr>
          <w:rFonts w:ascii="Times New Roman" w:hAnsi="Times New Roman"/>
          <w:sz w:val="28"/>
          <w:szCs w:val="28"/>
          <w:lang w:val="uz-Cyrl-UZ"/>
        </w:rPr>
        <w:t>/л (р&lt;0,001), что в 1,1 раз меньше значения при А стадии.</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 xml:space="preserve">Дстоверная разница в количестве тромбоцитов отмечалась также и при различных иммунохимических вариантах ММ: </w:t>
      </w:r>
      <w:bookmarkStart w:id="119" w:name="_Hlk5981815"/>
      <w:r w:rsidRPr="00A11646">
        <w:rPr>
          <w:rFonts w:ascii="Times New Roman" w:hAnsi="Times New Roman"/>
          <w:sz w:val="28"/>
          <w:szCs w:val="28"/>
          <w:lang w:val="uz-Cyrl-UZ"/>
        </w:rPr>
        <w:t xml:space="preserve">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w:t>
      </w:r>
      <w:r w:rsidRPr="00A11646">
        <w:rPr>
          <w:rFonts w:ascii="Times New Roman" w:eastAsia="Times New Roman" w:hAnsi="Times New Roman"/>
          <w:sz w:val="28"/>
          <w:szCs w:val="28"/>
        </w:rPr>
        <w:t xml:space="preserve">157,3±11,1 </w:t>
      </w:r>
      <w:bookmarkStart w:id="120" w:name="_Hlk5981972"/>
      <w:r w:rsidRPr="00A11646">
        <w:rPr>
          <w:rFonts w:ascii="Times New Roman" w:eastAsia="Times New Roman" w:hAnsi="Times New Roman"/>
          <w:sz w:val="28"/>
          <w:szCs w:val="28"/>
        </w:rPr>
        <w:t>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w:t>
      </w:r>
      <w:bookmarkEnd w:id="120"/>
      <w:r w:rsidRPr="00A11646">
        <w:rPr>
          <w:rFonts w:ascii="Times New Roman" w:eastAsia="Times New Roman" w:hAnsi="Times New Roman"/>
          <w:sz w:val="28"/>
          <w:szCs w:val="28"/>
        </w:rPr>
        <w:t xml:space="preserve"> (р&lt;0,001);</w:t>
      </w:r>
      <w:r w:rsidRPr="00A11646">
        <w:rPr>
          <w:rFonts w:ascii="Times New Roman" w:hAnsi="Times New Roman"/>
          <w:sz w:val="28"/>
          <w:szCs w:val="28"/>
          <w:lang w:val="en-US"/>
        </w:rPr>
        <w:t>IgGλ</w:t>
      </w:r>
      <w:r w:rsidRPr="00A11646">
        <w:rPr>
          <w:rFonts w:ascii="Times New Roman" w:hAnsi="Times New Roman"/>
          <w:sz w:val="28"/>
          <w:szCs w:val="28"/>
        </w:rPr>
        <w:t xml:space="preserve"> - </w:t>
      </w:r>
      <w:r w:rsidRPr="00A11646">
        <w:rPr>
          <w:rFonts w:ascii="Times New Roman" w:eastAsia="Times New Roman" w:hAnsi="Times New Roman"/>
          <w:sz w:val="28"/>
          <w:szCs w:val="28"/>
        </w:rPr>
        <w:t>134,3±15,0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w:t>
      </w:r>
      <w:r w:rsidRPr="00A11646">
        <w:rPr>
          <w:rFonts w:ascii="Times New Roman" w:hAnsi="Times New Roman"/>
          <w:sz w:val="28"/>
          <w:szCs w:val="28"/>
          <w:lang w:val="uz-Cyrl-UZ"/>
        </w:rPr>
        <w:t>(р&lt;0,001)</w:t>
      </w:r>
      <w:r w:rsidRPr="00A11646">
        <w:rPr>
          <w:rFonts w:ascii="Times New Roman" w:eastAsia="Times New Roman" w:hAnsi="Times New Roman"/>
          <w:sz w:val="28"/>
          <w:szCs w:val="28"/>
        </w:rPr>
        <w:t xml:space="preserve">;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w:t>
      </w:r>
      <w:r w:rsidRPr="00A11646">
        <w:rPr>
          <w:rFonts w:ascii="Times New Roman" w:eastAsia="Times New Roman" w:hAnsi="Times New Roman"/>
          <w:sz w:val="28"/>
          <w:szCs w:val="28"/>
        </w:rPr>
        <w:t>143,3±26,6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w:t>
      </w:r>
      <w:r w:rsidRPr="00A11646">
        <w:rPr>
          <w:rFonts w:ascii="Times New Roman" w:hAnsi="Times New Roman"/>
          <w:sz w:val="28"/>
          <w:szCs w:val="28"/>
          <w:lang w:val="uz-Cyrl-UZ"/>
        </w:rPr>
        <w:t>(р&lt;0,01)</w:t>
      </w:r>
      <w:r w:rsidRPr="00A11646">
        <w:rPr>
          <w:rFonts w:ascii="Times New Roman" w:eastAsia="Times New Roman" w:hAnsi="Times New Roman"/>
          <w:sz w:val="28"/>
          <w:szCs w:val="28"/>
        </w:rPr>
        <w:t>;</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w:t>
      </w:r>
      <w:r w:rsidRPr="00A11646">
        <w:rPr>
          <w:rFonts w:ascii="Times New Roman" w:eastAsia="Times New Roman" w:hAnsi="Times New Roman"/>
          <w:sz w:val="28"/>
          <w:szCs w:val="28"/>
        </w:rPr>
        <w:t>107,2±18,5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w:t>
      </w:r>
      <w:r w:rsidRPr="00A11646">
        <w:rPr>
          <w:rFonts w:ascii="Times New Roman" w:hAnsi="Times New Roman"/>
          <w:sz w:val="28"/>
          <w:szCs w:val="28"/>
          <w:lang w:val="uz-Cyrl-UZ"/>
        </w:rPr>
        <w:t>(р&lt;0,001)</w:t>
      </w:r>
      <w:r w:rsidRPr="00A11646">
        <w:rPr>
          <w:rFonts w:ascii="Times New Roman" w:eastAsia="Times New Roman" w:hAnsi="Times New Roman"/>
          <w:sz w:val="28"/>
          <w:szCs w:val="28"/>
        </w:rPr>
        <w:t>; редких вариантах 171,2±22,9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w:t>
      </w:r>
      <w:r w:rsidRPr="00A11646">
        <w:rPr>
          <w:rFonts w:ascii="Times New Roman" w:hAnsi="Times New Roman"/>
          <w:sz w:val="28"/>
          <w:szCs w:val="28"/>
          <w:lang w:val="uz-Cyrl-UZ"/>
        </w:rPr>
        <w:t>(р&lt;0,05)</w:t>
      </w:r>
      <w:r w:rsidRPr="00A11646">
        <w:rPr>
          <w:rFonts w:ascii="Times New Roman" w:eastAsia="Times New Roman" w:hAnsi="Times New Roman"/>
          <w:sz w:val="28"/>
          <w:szCs w:val="28"/>
        </w:rPr>
        <w:t xml:space="preserve">. </w:t>
      </w:r>
      <w:bookmarkEnd w:id="119"/>
      <w:r w:rsidRPr="00A11646">
        <w:rPr>
          <w:rFonts w:ascii="Times New Roman" w:eastAsia="Times New Roman" w:hAnsi="Times New Roman"/>
          <w:sz w:val="28"/>
          <w:szCs w:val="28"/>
        </w:rPr>
        <w:t xml:space="preserve">Эти значения показывают, что количество тромбоцитов у больных с легкой цепью </w:t>
      </w:r>
      <w:r w:rsidRPr="00A11646">
        <w:rPr>
          <w:rFonts w:ascii="Times New Roman" w:hAnsi="Times New Roman"/>
          <w:sz w:val="28"/>
          <w:szCs w:val="28"/>
          <w:lang w:val="uz-Cyrl-UZ"/>
        </w:rPr>
        <w:t xml:space="preserve">«κ» в среднем на 1,2 больше в отношении к таковым с легкой цепью </w:t>
      </w:r>
      <w:r w:rsidRPr="00A11646">
        <w:rPr>
          <w:rFonts w:ascii="Times New Roman" w:hAnsi="Times New Roman"/>
          <w:sz w:val="28"/>
          <w:szCs w:val="28"/>
        </w:rPr>
        <w:t>«</w:t>
      </w:r>
      <w:r w:rsidRPr="00A11646">
        <w:rPr>
          <w:rFonts w:ascii="Times New Roman" w:hAnsi="Times New Roman"/>
          <w:sz w:val="28"/>
          <w:szCs w:val="28"/>
          <w:lang w:val="uz-Cyrl-UZ"/>
        </w:rPr>
        <w:t>λ</w:t>
      </w:r>
      <w:r w:rsidRPr="00A11646">
        <w:rPr>
          <w:rFonts w:ascii="Times New Roman" w:hAnsi="Times New Roman"/>
          <w:sz w:val="28"/>
          <w:szCs w:val="28"/>
        </w:rPr>
        <w:t>» (рис. 3.2.1.2.). Снижение количества тромбоцитов связано с угнетением гемопоэза у больных ММ.</w:t>
      </w:r>
    </w:p>
    <w:bookmarkEnd w:id="115"/>
    <w:p w:rsidR="00801BFD" w:rsidRDefault="00801BFD" w:rsidP="00C328C9">
      <w:pPr>
        <w:autoSpaceDE w:val="0"/>
        <w:autoSpaceDN w:val="0"/>
        <w:adjustRightInd w:val="0"/>
        <w:spacing w:after="0" w:line="360" w:lineRule="auto"/>
        <w:ind w:firstLine="708"/>
        <w:jc w:val="both"/>
        <w:rPr>
          <w:rFonts w:ascii="Times New Roman" w:hAnsi="Times New Roman"/>
          <w:sz w:val="28"/>
          <w:szCs w:val="28"/>
          <w:lang w:val="uz-Cyrl-UZ"/>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2903220"/>
            <wp:effectExtent l="0" t="0" r="0" b="1143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3.2.1.2. Среднее значение количества тромбоцитов в зависимости от стадии и варианта легких цепей у больных ММ.</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121" w:name="_Hlk7087476"/>
      <w:r w:rsidRPr="00A11646">
        <w:rPr>
          <w:rFonts w:ascii="Times New Roman" w:hAnsi="Times New Roman"/>
          <w:sz w:val="28"/>
          <w:szCs w:val="28"/>
          <w:lang w:val="uz-Cyrl-UZ"/>
        </w:rPr>
        <w:t>Средний уровень лейкоцитов не отличался от  показателей в норме. Однако необходимо отметить, что у  40 (32,3%) обследованных отмечалась лейкопения с уровнем лейкоцитов менее 4,0 Х 10</w:t>
      </w:r>
      <w:r w:rsidRPr="00A11646">
        <w:rPr>
          <w:rFonts w:ascii="Times New Roman" w:hAnsi="Times New Roman"/>
          <w:sz w:val="28"/>
          <w:szCs w:val="28"/>
          <w:vertAlign w:val="superscript"/>
          <w:lang w:val="uz-Cyrl-UZ"/>
        </w:rPr>
        <w:t>9</w:t>
      </w:r>
      <w:r w:rsidRPr="00A11646">
        <w:rPr>
          <w:rFonts w:ascii="Times New Roman" w:hAnsi="Times New Roman"/>
          <w:sz w:val="28"/>
          <w:szCs w:val="28"/>
          <w:lang w:val="uz-Cyrl-UZ"/>
        </w:rPr>
        <w:t>/л, нейтропения менее 1,0 Х 10</w:t>
      </w:r>
      <w:r w:rsidRPr="00A11646">
        <w:rPr>
          <w:rFonts w:ascii="Times New Roman" w:hAnsi="Times New Roman"/>
          <w:sz w:val="28"/>
          <w:szCs w:val="28"/>
          <w:vertAlign w:val="superscript"/>
          <w:lang w:val="uz-Cyrl-UZ"/>
        </w:rPr>
        <w:t>9</w:t>
      </w:r>
      <w:r w:rsidRPr="00A11646">
        <w:rPr>
          <w:rFonts w:ascii="Times New Roman" w:hAnsi="Times New Roman"/>
          <w:sz w:val="28"/>
          <w:szCs w:val="28"/>
          <w:lang w:val="uz-Cyrl-UZ"/>
        </w:rPr>
        <w:t xml:space="preserve">/л – у 3 (2,4%) (рис 3.2.1.3.).  </w:t>
      </w:r>
    </w:p>
    <w:bookmarkEnd w:id="121"/>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lastRenderedPageBreak/>
        <w:drawing>
          <wp:inline distT="0" distB="0" distL="0" distR="0">
            <wp:extent cx="5486400" cy="2644140"/>
            <wp:effectExtent l="19050" t="0" r="19050"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3.2.1.3. Среднее количество лейкоцитов у больных ММ</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122" w:name="_Hlk7087499"/>
      <w:r w:rsidRPr="00A11646">
        <w:rPr>
          <w:rFonts w:ascii="Times New Roman" w:hAnsi="Times New Roman"/>
          <w:sz w:val="28"/>
          <w:szCs w:val="28"/>
          <w:lang w:val="uz-Cyrl-UZ"/>
        </w:rPr>
        <w:t>В ходе исследования мы выявили повышение скорости оседания эритроцитов (СОЭ) среди всех больных (</w:t>
      </w:r>
      <w:r w:rsidRPr="00A11646">
        <w:rPr>
          <w:rFonts w:ascii="Times New Roman" w:hAnsi="Times New Roman"/>
          <w:sz w:val="28"/>
          <w:szCs w:val="28"/>
          <w:lang w:val="en-US"/>
        </w:rPr>
        <w:t>n</w:t>
      </w:r>
      <w:r w:rsidRPr="00A11646">
        <w:rPr>
          <w:rFonts w:ascii="Times New Roman" w:hAnsi="Times New Roman"/>
          <w:sz w:val="28"/>
          <w:szCs w:val="28"/>
        </w:rPr>
        <w:t xml:space="preserve">=124) </w:t>
      </w:r>
      <w:r w:rsidRPr="00A11646">
        <w:rPr>
          <w:rFonts w:ascii="Times New Roman" w:hAnsi="Times New Roman"/>
          <w:sz w:val="28"/>
          <w:szCs w:val="28"/>
          <w:lang w:val="uz-Cyrl-UZ"/>
        </w:rPr>
        <w:t>ММ</w:t>
      </w:r>
      <w:r w:rsidRPr="00A11646">
        <w:rPr>
          <w:rFonts w:ascii="Times New Roman" w:hAnsi="Times New Roman"/>
          <w:sz w:val="28"/>
          <w:szCs w:val="28"/>
        </w:rPr>
        <w:t>. Уровень СОЭ при иммунохимических вариантах ММ составил следующие значения:</w:t>
      </w:r>
      <w:r w:rsidRPr="00A11646">
        <w:rPr>
          <w:rFonts w:ascii="Times New Roman" w:hAnsi="Times New Roman"/>
          <w:sz w:val="28"/>
          <w:szCs w:val="28"/>
          <w:lang w:val="uz-Cyrl-UZ"/>
        </w:rPr>
        <w:t xml:space="preserve">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w:t>
      </w:r>
      <w:r w:rsidRPr="00A11646">
        <w:rPr>
          <w:rFonts w:ascii="Times New Roman" w:eastAsia="Times New Roman" w:hAnsi="Times New Roman"/>
          <w:sz w:val="28"/>
          <w:szCs w:val="28"/>
        </w:rPr>
        <w:t>47,4+4,0 мм/ч (р&lt;0,001);</w:t>
      </w:r>
      <w:r w:rsidRPr="00A11646">
        <w:rPr>
          <w:rFonts w:ascii="Times New Roman" w:hAnsi="Times New Roman"/>
          <w:sz w:val="28"/>
          <w:szCs w:val="28"/>
          <w:lang w:val="en-US"/>
        </w:rPr>
        <w:t>IgGλ</w:t>
      </w:r>
      <w:r w:rsidRPr="00A11646">
        <w:rPr>
          <w:rFonts w:ascii="Times New Roman" w:hAnsi="Times New Roman"/>
          <w:sz w:val="28"/>
          <w:szCs w:val="28"/>
        </w:rPr>
        <w:t xml:space="preserve"> - </w:t>
      </w:r>
      <w:r w:rsidRPr="00A11646">
        <w:rPr>
          <w:rFonts w:ascii="Times New Roman" w:hAnsi="Times New Roman"/>
          <w:sz w:val="28"/>
          <w:szCs w:val="28"/>
          <w:lang w:val="uz-Cyrl-UZ"/>
        </w:rPr>
        <w:t>48,2+5,1 мм/ч (р&lt;0,001)</w:t>
      </w:r>
      <w:r w:rsidRPr="00A11646">
        <w:rPr>
          <w:rFonts w:ascii="Times New Roman" w:eastAsia="Times New Roman" w:hAnsi="Times New Roman"/>
          <w:sz w:val="28"/>
          <w:szCs w:val="28"/>
        </w:rPr>
        <w:t xml:space="preserve">; </w:t>
      </w:r>
      <w:bookmarkStart w:id="123" w:name="_Hlk5982934"/>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bookmarkEnd w:id="123"/>
      <w:r w:rsidRPr="00A11646">
        <w:rPr>
          <w:rFonts w:ascii="Times New Roman" w:hAnsi="Times New Roman"/>
          <w:sz w:val="28"/>
          <w:szCs w:val="28"/>
        </w:rPr>
        <w:t xml:space="preserve"> - </w:t>
      </w:r>
      <w:r w:rsidRPr="00A11646">
        <w:rPr>
          <w:rFonts w:ascii="Times New Roman" w:hAnsi="Times New Roman"/>
          <w:sz w:val="28"/>
          <w:szCs w:val="28"/>
          <w:lang w:val="uz-Cyrl-UZ"/>
        </w:rPr>
        <w:t>62,5+12,0 мм/ч (р&lt;0,001)</w:t>
      </w:r>
      <w:r w:rsidRPr="00A11646">
        <w:rPr>
          <w:rFonts w:ascii="Times New Roman" w:eastAsia="Times New Roman" w:hAnsi="Times New Roman"/>
          <w:sz w:val="28"/>
          <w:szCs w:val="28"/>
        </w:rPr>
        <w:t>;</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w:t>
      </w:r>
      <w:r w:rsidRPr="00A11646">
        <w:rPr>
          <w:rFonts w:ascii="Times New Roman" w:hAnsi="Times New Roman"/>
          <w:sz w:val="28"/>
          <w:szCs w:val="28"/>
          <w:lang w:val="uz-Cyrl-UZ"/>
        </w:rPr>
        <w:t>54,2+7,0 мм/ч (р&lt;0,001)</w:t>
      </w:r>
      <w:r w:rsidRPr="00A11646">
        <w:rPr>
          <w:rFonts w:ascii="Times New Roman" w:eastAsia="Times New Roman" w:hAnsi="Times New Roman"/>
          <w:sz w:val="28"/>
          <w:szCs w:val="28"/>
        </w:rPr>
        <w:t xml:space="preserve">; редких вариантах </w:t>
      </w:r>
      <w:r w:rsidRPr="00A11646">
        <w:rPr>
          <w:rFonts w:ascii="Times New Roman" w:hAnsi="Times New Roman"/>
          <w:sz w:val="28"/>
          <w:szCs w:val="28"/>
          <w:lang w:val="uz-Cyrl-UZ"/>
        </w:rPr>
        <w:t>35,6±6,3 мм/ч (р&lt;0,001).</w:t>
      </w:r>
    </w:p>
    <w:bookmarkEnd w:id="122"/>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Распределение больных ММ в зависимости от интенсивности ускорения СОЭ показано на рис. 3.2.1.4.</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28956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3.2.1.4. Процентное распределение больных ММ в зависимости от интенсивности ускорения СОЭ.</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124" w:name="_Hlk7087540"/>
      <w:r w:rsidRPr="00A11646">
        <w:rPr>
          <w:rFonts w:ascii="Times New Roman" w:hAnsi="Times New Roman"/>
          <w:sz w:val="28"/>
          <w:szCs w:val="28"/>
          <w:lang w:val="uz-Cyrl-UZ"/>
        </w:rPr>
        <w:lastRenderedPageBreak/>
        <w:t>Ускоренние у всех больных СОЭ связано с повышенным уровнем характерного для ММ патологического белка, и является важным диагностическим критерием заболевания.</w:t>
      </w:r>
    </w:p>
    <w:p w:rsidR="00AC34B9" w:rsidRDefault="00C328C9" w:rsidP="00AC34B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 xml:space="preserve">Результаты морфологического изучения мазка костного мозга  у больных характеризовались повышением уровня плазмоцитов – основного субстрата ММ </w:t>
      </w:r>
      <w:bookmarkEnd w:id="124"/>
      <w:r w:rsidRPr="00A11646">
        <w:rPr>
          <w:rFonts w:ascii="Times New Roman" w:hAnsi="Times New Roman"/>
          <w:sz w:val="28"/>
          <w:szCs w:val="28"/>
          <w:lang w:val="uz-Cyrl-UZ"/>
        </w:rPr>
        <w:t>(табл. 3.2.1.2.).</w:t>
      </w:r>
    </w:p>
    <w:p w:rsidR="00C328C9" w:rsidRPr="00A11646" w:rsidRDefault="00AC34B9" w:rsidP="00AC34B9">
      <w:pPr>
        <w:autoSpaceDE w:val="0"/>
        <w:autoSpaceDN w:val="0"/>
        <w:adjustRightInd w:val="0"/>
        <w:spacing w:after="0" w:line="360" w:lineRule="auto"/>
        <w:ind w:firstLine="708"/>
        <w:jc w:val="both"/>
        <w:rPr>
          <w:rFonts w:ascii="Times New Roman" w:eastAsia="Times New Roman" w:hAnsi="Times New Roman"/>
          <w:b/>
          <w:sz w:val="28"/>
          <w:szCs w:val="28"/>
        </w:rPr>
      </w:pPr>
      <w:r>
        <w:rPr>
          <w:rFonts w:ascii="Times New Roman" w:hAnsi="Times New Roman"/>
          <w:sz w:val="28"/>
          <w:szCs w:val="28"/>
          <w:lang w:val="uz-Cyrl-UZ"/>
        </w:rPr>
        <w:t xml:space="preserve">                                                                                     </w:t>
      </w:r>
      <w:r w:rsidR="00C328C9" w:rsidRPr="00A11646">
        <w:rPr>
          <w:rFonts w:ascii="Times New Roman" w:eastAsia="Times New Roman" w:hAnsi="Times New Roman"/>
          <w:b/>
          <w:sz w:val="28"/>
          <w:szCs w:val="28"/>
        </w:rPr>
        <w:t>Таблица 3.2.1.2.</w:t>
      </w:r>
    </w:p>
    <w:p w:rsidR="00C328C9" w:rsidRPr="00A11646" w:rsidRDefault="00C328C9" w:rsidP="00C328C9">
      <w:pPr>
        <w:spacing w:after="0" w:line="36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Содержание плазмоцитов в костном мозге у больных ММ в зависимости от иммунохимического варианта</w:t>
      </w:r>
    </w:p>
    <w:p w:rsidR="00C328C9" w:rsidRPr="00A11646" w:rsidRDefault="00C328C9" w:rsidP="00C328C9">
      <w:pPr>
        <w:spacing w:after="0" w:line="36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(М±</w:t>
      </w:r>
      <w:r w:rsidRPr="00A11646">
        <w:rPr>
          <w:rFonts w:ascii="Times New Roman" w:eastAsia="Times New Roman" w:hAnsi="Times New Roman"/>
          <w:b/>
          <w:sz w:val="28"/>
          <w:szCs w:val="28"/>
          <w:lang w:val="en-US"/>
        </w:rPr>
        <w:t>m)</w:t>
      </w:r>
    </w:p>
    <w:tbl>
      <w:tblPr>
        <w:tblStyle w:val="a6"/>
        <w:tblW w:w="9351" w:type="dxa"/>
        <w:tblLook w:val="04A0"/>
      </w:tblPr>
      <w:tblGrid>
        <w:gridCol w:w="879"/>
        <w:gridCol w:w="3369"/>
        <w:gridCol w:w="5103"/>
      </w:tblGrid>
      <w:tr w:rsidR="00C328C9" w:rsidRPr="00A11646" w:rsidTr="00C328C9">
        <w:trPr>
          <w:trHeight w:val="483"/>
        </w:trPr>
        <w:tc>
          <w:tcPr>
            <w:tcW w:w="4248" w:type="dxa"/>
            <w:gridSpan w:val="2"/>
            <w:vMerge w:val="restart"/>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5103"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Плазмоциты, %</w:t>
            </w:r>
          </w:p>
        </w:tc>
      </w:tr>
      <w:tr w:rsidR="00C328C9" w:rsidRPr="00A11646" w:rsidTr="00AC34B9">
        <w:trPr>
          <w:trHeight w:val="483"/>
        </w:trPr>
        <w:tc>
          <w:tcPr>
            <w:tcW w:w="4248" w:type="dxa"/>
            <w:gridSpan w:val="2"/>
            <w:vMerge/>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p>
        </w:tc>
        <w:tc>
          <w:tcPr>
            <w:tcW w:w="5103"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p>
        </w:tc>
      </w:tr>
      <w:tr w:rsidR="00C328C9" w:rsidRPr="00A11646" w:rsidTr="00C328C9">
        <w:tc>
          <w:tcPr>
            <w:tcW w:w="879"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3369"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37,5±3,4***</w:t>
            </w:r>
          </w:p>
        </w:tc>
      </w:tr>
      <w:tr w:rsidR="00C328C9" w:rsidRPr="00A11646" w:rsidTr="00C328C9">
        <w:tc>
          <w:tcPr>
            <w:tcW w:w="879"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p>
        </w:tc>
        <w:tc>
          <w:tcPr>
            <w:tcW w:w="3369"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36,2±5,6***</w:t>
            </w:r>
          </w:p>
        </w:tc>
      </w:tr>
      <w:tr w:rsidR="00C328C9" w:rsidRPr="00A11646" w:rsidTr="00C328C9">
        <w:tc>
          <w:tcPr>
            <w:tcW w:w="879"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3369"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36,4±9,4**</w:t>
            </w:r>
          </w:p>
        </w:tc>
      </w:tr>
      <w:tr w:rsidR="00C328C9" w:rsidRPr="00A11646" w:rsidTr="00C328C9">
        <w:tc>
          <w:tcPr>
            <w:tcW w:w="879"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p>
        </w:tc>
        <w:tc>
          <w:tcPr>
            <w:tcW w:w="3369"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bookmarkStart w:id="125" w:name="_Hlk5983969"/>
            <w:r w:rsidRPr="00A11646">
              <w:rPr>
                <w:rFonts w:ascii="Times New Roman" w:eastAsia="Times New Roman" w:hAnsi="Times New Roman"/>
                <w:sz w:val="28"/>
                <w:szCs w:val="28"/>
              </w:rPr>
              <w:t>53,4±7,9</w:t>
            </w:r>
            <w:bookmarkEnd w:id="125"/>
            <w:r w:rsidRPr="00A11646">
              <w:rPr>
                <w:rFonts w:ascii="Times New Roman" w:eastAsia="Times New Roman" w:hAnsi="Times New Roman"/>
                <w:sz w:val="28"/>
                <w:szCs w:val="28"/>
              </w:rPr>
              <w:t>***</w:t>
            </w:r>
          </w:p>
        </w:tc>
      </w:tr>
      <w:tr w:rsidR="00C328C9" w:rsidRPr="00A11646" w:rsidTr="00C328C9">
        <w:tc>
          <w:tcPr>
            <w:tcW w:w="4248" w:type="dxa"/>
            <w:gridSpan w:val="2"/>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33,3+6,3***</w:t>
            </w:r>
          </w:p>
        </w:tc>
      </w:tr>
    </w:tbl>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bookmarkStart w:id="126" w:name="_Hlk7087560"/>
      <w:r w:rsidRPr="00A11646">
        <w:rPr>
          <w:rFonts w:ascii="Times New Roman" w:hAnsi="Times New Roman"/>
          <w:sz w:val="28"/>
          <w:szCs w:val="28"/>
          <w:lang w:val="uz-Cyrl-UZ"/>
        </w:rPr>
        <w:t>*- достоверно по сравнению с показателями в контроле (*-P&lt;0,05; **-P&lt;0,01; ***-P&lt;0,001).</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 xml:space="preserve">Из данных приведенных в таблице очевдно, что уровень плазмоцитов за исключением иммунохимического варианта   </w:t>
      </w:r>
      <w:bookmarkStart w:id="127" w:name="_Hlk5984041"/>
      <w:r w:rsidRPr="00A11646">
        <w:rPr>
          <w:rFonts w:ascii="Times New Roman" w:hAnsi="Times New Roman"/>
          <w:sz w:val="28"/>
          <w:szCs w:val="28"/>
          <w:lang w:val="en-US"/>
        </w:rPr>
        <w:t>IgAλ</w:t>
      </w:r>
      <w:bookmarkEnd w:id="127"/>
      <w:r w:rsidRPr="00A11646">
        <w:rPr>
          <w:rFonts w:ascii="Times New Roman" w:hAnsi="Times New Roman"/>
          <w:sz w:val="28"/>
          <w:szCs w:val="28"/>
        </w:rPr>
        <w:t xml:space="preserve"> (</w:t>
      </w:r>
      <w:r w:rsidRPr="00A11646">
        <w:rPr>
          <w:rFonts w:ascii="Times New Roman" w:eastAsia="Times New Roman" w:hAnsi="Times New Roman"/>
          <w:sz w:val="28"/>
          <w:szCs w:val="28"/>
        </w:rPr>
        <w:t>53,4±7,9; р&lt;0,001</w:t>
      </w:r>
      <w:r w:rsidRPr="00A11646">
        <w:rPr>
          <w:rFonts w:ascii="Times New Roman" w:hAnsi="Times New Roman"/>
          <w:sz w:val="28"/>
          <w:szCs w:val="28"/>
        </w:rPr>
        <w:t xml:space="preserve">), </w:t>
      </w:r>
      <w:r w:rsidRPr="00A11646">
        <w:rPr>
          <w:rFonts w:ascii="Times New Roman" w:hAnsi="Times New Roman"/>
          <w:sz w:val="28"/>
          <w:szCs w:val="28"/>
          <w:lang w:val="uz-Cyrl-UZ"/>
        </w:rPr>
        <w:t xml:space="preserve">при всех других вариантах ММ мало отличается. Процентное содержание плазмоцитов при варианте </w:t>
      </w:r>
      <w:bookmarkStart w:id="128" w:name="_Hlk5984368"/>
      <w:r w:rsidRPr="00A11646">
        <w:rPr>
          <w:rFonts w:ascii="Times New Roman" w:hAnsi="Times New Roman"/>
          <w:sz w:val="28"/>
          <w:szCs w:val="28"/>
          <w:lang w:val="en-US"/>
        </w:rPr>
        <w:t>IgAλ</w:t>
      </w:r>
      <w:bookmarkEnd w:id="128"/>
      <w:r w:rsidRPr="00A11646">
        <w:rPr>
          <w:rFonts w:ascii="Times New Roman" w:hAnsi="Times New Roman"/>
          <w:sz w:val="28"/>
          <w:szCs w:val="28"/>
        </w:rPr>
        <w:t xml:space="preserve"> превысил таковое у больных с </w:t>
      </w:r>
      <w:r w:rsidRPr="00A11646">
        <w:rPr>
          <w:rFonts w:ascii="Times New Roman" w:hAnsi="Times New Roman"/>
          <w:sz w:val="28"/>
          <w:szCs w:val="28"/>
          <w:lang w:val="en-US"/>
        </w:rPr>
        <w:t>IgGκ</w:t>
      </w:r>
      <w:r w:rsidRPr="00A11646">
        <w:rPr>
          <w:rFonts w:ascii="Times New Roman" w:hAnsi="Times New Roman"/>
          <w:sz w:val="28"/>
          <w:szCs w:val="28"/>
        </w:rPr>
        <w:t xml:space="preserve"> в 1,4; с  </w:t>
      </w:r>
      <w:r w:rsidRPr="00A11646">
        <w:rPr>
          <w:rFonts w:ascii="Times New Roman" w:hAnsi="Times New Roman"/>
          <w:sz w:val="28"/>
          <w:szCs w:val="28"/>
          <w:lang w:val="en-US"/>
        </w:rPr>
        <w:t>IgGλ</w:t>
      </w:r>
      <w:r w:rsidRPr="00A11646">
        <w:rPr>
          <w:rFonts w:ascii="Times New Roman" w:hAnsi="Times New Roman"/>
          <w:sz w:val="28"/>
          <w:szCs w:val="28"/>
        </w:rPr>
        <w:t xml:space="preserve">  в 1,5</w:t>
      </w:r>
      <w:r w:rsidRPr="00A11646">
        <w:rPr>
          <w:rFonts w:ascii="Times New Roman" w:eastAsia="Times New Roman" w:hAnsi="Times New Roman"/>
          <w:sz w:val="28"/>
          <w:szCs w:val="28"/>
        </w:rPr>
        <w:t xml:space="preserve">; с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почти в 1,5; с </w:t>
      </w:r>
      <w:r w:rsidRPr="00A11646">
        <w:rPr>
          <w:rFonts w:ascii="Times New Roman" w:eastAsia="Times New Roman" w:hAnsi="Times New Roman"/>
          <w:sz w:val="28"/>
          <w:szCs w:val="28"/>
        </w:rPr>
        <w:t>редкими вариантами в 1,6 раз (рис. 3.2.1.5.)</w:t>
      </w:r>
      <w:r w:rsidRPr="00A11646">
        <w:rPr>
          <w:rFonts w:ascii="Times New Roman" w:hAnsi="Times New Roman"/>
          <w:sz w:val="28"/>
          <w:szCs w:val="28"/>
          <w:lang w:val="uz-Cyrl-UZ"/>
        </w:rPr>
        <w:t xml:space="preserve">. Этот факт в свою очередь свидетельствует о более агрессивном течении и неблагоприятном прогнозе варианта  </w:t>
      </w:r>
      <w:r w:rsidRPr="00A11646">
        <w:rPr>
          <w:rFonts w:ascii="Times New Roman" w:hAnsi="Times New Roman"/>
          <w:sz w:val="28"/>
          <w:szCs w:val="28"/>
          <w:lang w:val="en-US"/>
        </w:rPr>
        <w:t>IgAλ</w:t>
      </w:r>
      <w:r w:rsidRPr="00A11646">
        <w:rPr>
          <w:rFonts w:ascii="Times New Roman" w:hAnsi="Times New Roman"/>
          <w:sz w:val="28"/>
          <w:szCs w:val="28"/>
        </w:rPr>
        <w:t xml:space="preserve"> ММ.</w:t>
      </w:r>
    </w:p>
    <w:bookmarkEnd w:id="126"/>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noProof/>
          <w:sz w:val="28"/>
          <w:szCs w:val="28"/>
        </w:rPr>
        <w:lastRenderedPageBreak/>
        <w:drawing>
          <wp:inline distT="0" distB="0" distL="0" distR="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b/>
          <w:sz w:val="28"/>
          <w:szCs w:val="28"/>
        </w:rPr>
        <w:t xml:space="preserve">Рис. 3.2.1.5. Превышение уровня плазмоцитов при </w:t>
      </w:r>
      <w:r w:rsidRPr="00A11646">
        <w:rPr>
          <w:rFonts w:ascii="Times New Roman" w:hAnsi="Times New Roman"/>
          <w:b/>
          <w:sz w:val="28"/>
          <w:szCs w:val="28"/>
          <w:lang w:val="en-US"/>
        </w:rPr>
        <w:t>IgAλ</w:t>
      </w:r>
      <w:r w:rsidRPr="00A11646">
        <w:rPr>
          <w:rFonts w:ascii="Times New Roman" w:hAnsi="Times New Roman"/>
          <w:b/>
          <w:sz w:val="28"/>
          <w:szCs w:val="28"/>
        </w:rPr>
        <w:t xml:space="preserve"> ММ по отношению к другим вариантам.</w:t>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lang w:val="uz-Cyrl-UZ"/>
        </w:rPr>
      </w:pPr>
      <w:bookmarkStart w:id="129" w:name="_Hlk8235892"/>
      <w:r w:rsidRPr="00A11646">
        <w:rPr>
          <w:rFonts w:ascii="Times New Roman" w:hAnsi="Times New Roman"/>
          <w:b/>
          <w:sz w:val="28"/>
          <w:szCs w:val="28"/>
          <w:lang w:val="uz-Cyrl-UZ"/>
        </w:rPr>
        <w:t>3.2.2. Состояние биохимических показателей крови и мочи у больных ММ</w:t>
      </w:r>
    </w:p>
    <w:bookmarkEnd w:id="129"/>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 xml:space="preserve">Наряду с оценкой показателей периферической крови и костного мозга мы провели изучение особенностей биохимических </w:t>
      </w:r>
      <w:r w:rsidRPr="00A11646">
        <w:rPr>
          <w:rFonts w:ascii="Times New Roman" w:hAnsi="Times New Roman"/>
          <w:sz w:val="28"/>
          <w:szCs w:val="28"/>
        </w:rPr>
        <w:t>показателей крови и мочи у больных ММ. Из биохимических параметров крови нами определялись показатели, изменения в которых имеют важное диагностическое значение при ММ, во многом позволяющие определять течение и прогноз заболевания. Эти показатели включали в себя определение общего количества белка, а</w:t>
      </w:r>
      <w:r w:rsidR="00190E3E" w:rsidRPr="00A11646">
        <w:rPr>
          <w:rFonts w:ascii="Times New Roman" w:hAnsi="Times New Roman"/>
          <w:sz w:val="28"/>
          <w:szCs w:val="28"/>
        </w:rPr>
        <w:t>л</w:t>
      </w:r>
      <w:r w:rsidRPr="00A11646">
        <w:rPr>
          <w:rFonts w:ascii="Times New Roman" w:hAnsi="Times New Roman"/>
          <w:sz w:val="28"/>
          <w:szCs w:val="28"/>
        </w:rPr>
        <w:t>ьбумина, γ и β</w:t>
      </w:r>
      <w:r w:rsidRPr="00A11646">
        <w:rPr>
          <w:rFonts w:ascii="Times New Roman" w:hAnsi="Times New Roman"/>
          <w:sz w:val="28"/>
          <w:szCs w:val="28"/>
          <w:vertAlign w:val="subscript"/>
        </w:rPr>
        <w:t>2</w:t>
      </w:r>
      <w:r w:rsidRPr="00A11646">
        <w:rPr>
          <w:rFonts w:ascii="Times New Roman" w:hAnsi="Times New Roman"/>
          <w:sz w:val="28"/>
          <w:szCs w:val="28"/>
          <w:lang w:val="uz-Cyrl-UZ"/>
        </w:rPr>
        <w:t>микро</w:t>
      </w:r>
      <w:r w:rsidRPr="00A11646">
        <w:rPr>
          <w:rFonts w:ascii="Times New Roman" w:hAnsi="Times New Roman"/>
          <w:sz w:val="28"/>
          <w:szCs w:val="28"/>
        </w:rPr>
        <w:t>глобулины, а также для оценки функционального состояния почек: содержание мочевины, остаточного азота и креатинина.</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Изучая</w:t>
      </w:r>
      <w:r w:rsidR="003C7FFA">
        <w:rPr>
          <w:rFonts w:ascii="Times New Roman" w:hAnsi="Times New Roman"/>
          <w:sz w:val="28"/>
          <w:szCs w:val="28"/>
          <w:lang w:val="uz-Cyrl-UZ"/>
        </w:rPr>
        <w:t xml:space="preserve"> </w:t>
      </w:r>
      <w:r w:rsidR="00190E3E" w:rsidRPr="00A11646">
        <w:rPr>
          <w:rFonts w:ascii="Times New Roman" w:hAnsi="Times New Roman"/>
          <w:sz w:val="28"/>
          <w:szCs w:val="28"/>
        </w:rPr>
        <w:t>биохимические</w:t>
      </w:r>
      <w:r w:rsidRPr="00A11646">
        <w:rPr>
          <w:rFonts w:ascii="Times New Roman" w:hAnsi="Times New Roman"/>
          <w:sz w:val="28"/>
          <w:szCs w:val="28"/>
          <w:lang w:val="uz-Cyrl-UZ"/>
        </w:rPr>
        <w:t xml:space="preserve"> показатели </w:t>
      </w:r>
      <w:r w:rsidRPr="00A11646">
        <w:rPr>
          <w:rFonts w:ascii="Times New Roman" w:hAnsi="Times New Roman"/>
          <w:sz w:val="28"/>
          <w:szCs w:val="28"/>
        </w:rPr>
        <w:t xml:space="preserve">крови на момент первичной постановки диагноза, мы получили </w:t>
      </w:r>
      <w:r w:rsidRPr="00A11646">
        <w:rPr>
          <w:rFonts w:ascii="Times New Roman" w:hAnsi="Times New Roman"/>
          <w:sz w:val="28"/>
          <w:szCs w:val="28"/>
          <w:lang w:val="uz-Cyrl-UZ"/>
        </w:rPr>
        <w:t>результаты</w:t>
      </w:r>
      <w:r w:rsidRPr="00A11646">
        <w:rPr>
          <w:rFonts w:ascii="Times New Roman" w:hAnsi="Times New Roman"/>
          <w:sz w:val="28"/>
          <w:szCs w:val="28"/>
        </w:rPr>
        <w:t>, характеризующиеся  наличием повышенного количества общего белка, γ – и β</w:t>
      </w:r>
      <w:r w:rsidRPr="00A11646">
        <w:rPr>
          <w:rFonts w:ascii="Times New Roman" w:hAnsi="Times New Roman"/>
          <w:sz w:val="28"/>
          <w:szCs w:val="28"/>
          <w:vertAlign w:val="subscript"/>
        </w:rPr>
        <w:t>2</w:t>
      </w:r>
      <w:r w:rsidRPr="00A11646">
        <w:rPr>
          <w:rFonts w:ascii="Times New Roman" w:hAnsi="Times New Roman"/>
          <w:sz w:val="28"/>
          <w:szCs w:val="28"/>
        </w:rPr>
        <w:t xml:space="preserve"> – микроглобулинов, уровня креатинина и мочевины (табл. 3.2.2.1. и табл. 3.2.2.2.)</w:t>
      </w:r>
    </w:p>
    <w:p w:rsidR="003C7FFA" w:rsidRDefault="00C328C9" w:rsidP="00C328C9">
      <w:pPr>
        <w:autoSpaceDE w:val="0"/>
        <w:autoSpaceDN w:val="0"/>
        <w:adjustRightInd w:val="0"/>
        <w:spacing w:after="0" w:line="360" w:lineRule="auto"/>
        <w:ind w:firstLine="708"/>
        <w:jc w:val="right"/>
        <w:rPr>
          <w:rFonts w:ascii="Times New Roman" w:hAnsi="Times New Roman"/>
          <w:b/>
          <w:sz w:val="28"/>
          <w:szCs w:val="28"/>
          <w:lang w:val="uz-Cyrl-UZ"/>
        </w:rPr>
      </w:pPr>
      <w:r w:rsidRPr="00A11646">
        <w:rPr>
          <w:rFonts w:ascii="Times New Roman" w:hAnsi="Times New Roman"/>
          <w:b/>
          <w:sz w:val="28"/>
          <w:szCs w:val="28"/>
        </w:rPr>
        <w:t xml:space="preserve"> </w:t>
      </w:r>
    </w:p>
    <w:p w:rsidR="00C328C9" w:rsidRPr="00A11646" w:rsidRDefault="003C7FFA" w:rsidP="003C7FFA">
      <w:pPr>
        <w:autoSpaceDE w:val="0"/>
        <w:autoSpaceDN w:val="0"/>
        <w:adjustRightInd w:val="0"/>
        <w:spacing w:after="0" w:line="360" w:lineRule="auto"/>
        <w:ind w:firstLine="708"/>
        <w:jc w:val="center"/>
        <w:rPr>
          <w:rFonts w:ascii="Times New Roman" w:hAnsi="Times New Roman"/>
          <w:b/>
          <w:sz w:val="28"/>
          <w:szCs w:val="28"/>
        </w:rPr>
      </w:pPr>
      <w:r>
        <w:rPr>
          <w:rFonts w:ascii="Times New Roman" w:hAnsi="Times New Roman"/>
          <w:b/>
          <w:sz w:val="28"/>
          <w:szCs w:val="28"/>
          <w:lang w:val="uz-Cyrl-UZ"/>
        </w:rPr>
        <w:lastRenderedPageBreak/>
        <w:t xml:space="preserve">                                                                                        </w:t>
      </w:r>
      <w:r w:rsidR="00C328C9" w:rsidRPr="00A11646">
        <w:rPr>
          <w:rFonts w:ascii="Times New Roman" w:hAnsi="Times New Roman"/>
          <w:b/>
          <w:sz w:val="28"/>
          <w:szCs w:val="28"/>
        </w:rPr>
        <w:t xml:space="preserve">Таблица 3.2.2.1. </w:t>
      </w:r>
    </w:p>
    <w:p w:rsidR="00C328C9" w:rsidRPr="00A11646" w:rsidRDefault="00C328C9" w:rsidP="00C328C9">
      <w:pPr>
        <w:autoSpaceDE w:val="0"/>
        <w:autoSpaceDN w:val="0"/>
        <w:adjustRightInd w:val="0"/>
        <w:spacing w:after="0" w:line="360" w:lineRule="auto"/>
        <w:ind w:firstLine="708"/>
        <w:jc w:val="center"/>
        <w:rPr>
          <w:rFonts w:ascii="Times New Roman" w:hAnsi="Times New Roman"/>
          <w:b/>
          <w:sz w:val="28"/>
          <w:szCs w:val="28"/>
        </w:rPr>
      </w:pPr>
      <w:r w:rsidRPr="00A11646">
        <w:rPr>
          <w:rFonts w:ascii="Times New Roman" w:hAnsi="Times New Roman"/>
          <w:b/>
          <w:sz w:val="28"/>
          <w:szCs w:val="28"/>
        </w:rPr>
        <w:t>Биохимические показатели крови больных ММ (М±</w:t>
      </w:r>
      <w:r w:rsidRPr="00A11646">
        <w:rPr>
          <w:rFonts w:ascii="Times New Roman" w:hAnsi="Times New Roman"/>
          <w:b/>
          <w:sz w:val="28"/>
          <w:szCs w:val="28"/>
          <w:lang w:val="en-US"/>
        </w:rPr>
        <w:t>m</w:t>
      </w:r>
      <w:r w:rsidRPr="00A11646">
        <w:rPr>
          <w:rFonts w:ascii="Times New Roman" w:hAnsi="Times New Roman"/>
          <w:b/>
          <w:sz w:val="28"/>
          <w:szCs w:val="28"/>
        </w:rPr>
        <w:t>)</w:t>
      </w:r>
    </w:p>
    <w:p w:rsidR="00C328C9" w:rsidRPr="00A11646" w:rsidRDefault="00C328C9" w:rsidP="00C328C9">
      <w:pPr>
        <w:spacing w:after="0" w:line="240" w:lineRule="auto"/>
        <w:jc w:val="center"/>
        <w:rPr>
          <w:rFonts w:ascii="Times New Roman" w:eastAsia="Times New Roman" w:hAnsi="Times New Roman"/>
          <w:sz w:val="28"/>
          <w:szCs w:val="28"/>
        </w:rPr>
      </w:pPr>
    </w:p>
    <w:tbl>
      <w:tblPr>
        <w:tblStyle w:val="a6"/>
        <w:tblW w:w="10785" w:type="dxa"/>
        <w:tblLook w:val="04A0"/>
      </w:tblPr>
      <w:tblGrid>
        <w:gridCol w:w="888"/>
        <w:gridCol w:w="985"/>
        <w:gridCol w:w="1919"/>
        <w:gridCol w:w="1919"/>
        <w:gridCol w:w="1919"/>
        <w:gridCol w:w="1919"/>
        <w:gridCol w:w="1236"/>
      </w:tblGrid>
      <w:tr w:rsidR="00C328C9" w:rsidRPr="00A11646" w:rsidTr="00C328C9">
        <w:trPr>
          <w:gridAfter w:val="1"/>
          <w:trHeight w:val="128"/>
        </w:trPr>
        <w:tc>
          <w:tcPr>
            <w:tcW w:w="1873" w:type="dxa"/>
            <w:gridSpan w:val="2"/>
            <w:vMerge w:val="restart"/>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1919"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Общий белок, г/л</w:t>
            </w:r>
          </w:p>
        </w:tc>
        <w:tc>
          <w:tcPr>
            <w:tcW w:w="5757" w:type="dxa"/>
            <w:gridSpan w:val="3"/>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Белковые фракции</w:t>
            </w:r>
          </w:p>
        </w:tc>
      </w:tr>
      <w:tr w:rsidR="00C328C9" w:rsidRPr="00A11646" w:rsidTr="00C328C9">
        <w:trPr>
          <w:gridAfter w:val="1"/>
          <w:trHeight w:val="143"/>
        </w:trPr>
        <w:tc>
          <w:tcPr>
            <w:tcW w:w="1873" w:type="dxa"/>
            <w:gridSpan w:val="2"/>
            <w:vMerge/>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p>
        </w:tc>
        <w:tc>
          <w:tcPr>
            <w:tcW w:w="1919"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p>
        </w:tc>
        <w:tc>
          <w:tcPr>
            <w:tcW w:w="1919"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Альбумин, %</w:t>
            </w:r>
          </w:p>
        </w:tc>
        <w:tc>
          <w:tcPr>
            <w:tcW w:w="1919"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γ</w:t>
            </w:r>
          </w:p>
        </w:tc>
        <w:tc>
          <w:tcPr>
            <w:tcW w:w="1919" w:type="dxa"/>
            <w:vAlign w:val="center"/>
          </w:tcPr>
          <w:p w:rsidR="00C328C9" w:rsidRPr="00A11646" w:rsidRDefault="00C328C9" w:rsidP="00C328C9">
            <w:pPr>
              <w:spacing w:line="360" w:lineRule="auto"/>
              <w:jc w:val="center"/>
              <w:rPr>
                <w:rFonts w:ascii="Times New Roman" w:eastAsia="Times New Roman" w:hAnsi="Times New Roman"/>
                <w:sz w:val="28"/>
                <w:szCs w:val="28"/>
                <w:vertAlign w:val="subscript"/>
                <w:lang w:val="uz-Cyrl-UZ"/>
              </w:rPr>
            </w:pPr>
            <w:r w:rsidRPr="00A11646">
              <w:rPr>
                <w:rFonts w:ascii="Times New Roman" w:eastAsia="Times New Roman" w:hAnsi="Times New Roman"/>
                <w:sz w:val="28"/>
                <w:szCs w:val="28"/>
              </w:rPr>
              <w:t>β</w:t>
            </w:r>
            <w:r w:rsidRPr="00A11646">
              <w:rPr>
                <w:rFonts w:ascii="Times New Roman" w:eastAsia="Times New Roman" w:hAnsi="Times New Roman"/>
                <w:sz w:val="28"/>
                <w:szCs w:val="28"/>
                <w:vertAlign w:val="subscript"/>
                <w:lang w:val="uz-Cyrl-UZ"/>
              </w:rPr>
              <w:t>2</w:t>
            </w:r>
          </w:p>
        </w:tc>
      </w:tr>
      <w:tr w:rsidR="00C328C9" w:rsidRPr="00A11646" w:rsidTr="00C328C9">
        <w:trPr>
          <w:gridAfter w:val="1"/>
          <w:trHeight w:val="284"/>
        </w:trPr>
        <w:tc>
          <w:tcPr>
            <w:tcW w:w="888"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985"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104,4</w:t>
            </w:r>
            <w:r w:rsidRPr="00A11646">
              <w:rPr>
                <w:rFonts w:ascii="Times New Roman" w:eastAsia="Times New Roman" w:hAnsi="Times New Roman" w:cstheme="minorHAnsi"/>
                <w:sz w:val="28"/>
                <w:szCs w:val="28"/>
              </w:rPr>
              <w:t>±</w:t>
            </w:r>
            <w:r w:rsidRPr="00A11646">
              <w:rPr>
                <w:rFonts w:ascii="Times New Roman" w:eastAsia="Times New Roman" w:hAnsi="Times New Roman"/>
                <w:sz w:val="28"/>
                <w:szCs w:val="28"/>
              </w:rPr>
              <w:t>4,1***</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53,1±1,1*</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18,4±1,6***</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15,4+1,0***</w:t>
            </w:r>
          </w:p>
        </w:tc>
      </w:tr>
      <w:tr w:rsidR="00C328C9" w:rsidRPr="00A11646" w:rsidTr="00C328C9">
        <w:trPr>
          <w:gridAfter w:val="1"/>
          <w:trHeight w:val="284"/>
        </w:trPr>
        <w:tc>
          <w:tcPr>
            <w:tcW w:w="888"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p>
        </w:tc>
        <w:tc>
          <w:tcPr>
            <w:tcW w:w="985" w:type="dxa"/>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919" w:type="dxa"/>
            <w:tcBorders>
              <w:top w:val="nil"/>
              <w:left w:val="nil"/>
              <w:bottom w:val="nil"/>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105,4±4,4***</w:t>
            </w:r>
          </w:p>
        </w:tc>
        <w:tc>
          <w:tcPr>
            <w:tcW w:w="1919" w:type="dxa"/>
            <w:tcBorders>
              <w:top w:val="nil"/>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51,6±1,0**</w:t>
            </w:r>
          </w:p>
        </w:tc>
        <w:tc>
          <w:tcPr>
            <w:tcW w:w="1919" w:type="dxa"/>
            <w:tcBorders>
              <w:top w:val="nil"/>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22,8±2,1**</w:t>
            </w:r>
          </w:p>
        </w:tc>
        <w:tc>
          <w:tcPr>
            <w:tcW w:w="1919" w:type="dxa"/>
            <w:tcBorders>
              <w:top w:val="nil"/>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14,5+1,7**</w:t>
            </w:r>
          </w:p>
        </w:tc>
      </w:tr>
      <w:tr w:rsidR="00C328C9" w:rsidRPr="00A11646" w:rsidTr="00C328C9">
        <w:trPr>
          <w:trHeight w:val="284"/>
        </w:trPr>
        <w:tc>
          <w:tcPr>
            <w:tcW w:w="888" w:type="dxa"/>
            <w:vMerge w:val="restart"/>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985" w:type="dxa"/>
            <w:vAlign w:val="center"/>
          </w:tcPr>
          <w:p w:rsidR="00C328C9" w:rsidRPr="00A11646" w:rsidRDefault="00C328C9" w:rsidP="00C328C9">
            <w:pPr>
              <w:spacing w:line="360" w:lineRule="auto"/>
              <w:jc w:val="center"/>
              <w:rPr>
                <w:rFonts w:ascii="Times New Roman" w:eastAsia="Times New Roman" w:hAnsi="Times New Roman"/>
                <w:sz w:val="28"/>
                <w:szCs w:val="28"/>
              </w:rPr>
            </w:pPr>
            <w:bookmarkStart w:id="130" w:name="_Hlk6072478"/>
            <w:r w:rsidRPr="00A11646">
              <w:rPr>
                <w:rFonts w:ascii="Times New Roman" w:eastAsia="Times New Roman" w:hAnsi="Times New Roman"/>
                <w:sz w:val="28"/>
                <w:szCs w:val="28"/>
              </w:rPr>
              <w:t>κ</w:t>
            </w:r>
            <w:bookmarkEnd w:id="130"/>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116,7±8,9**</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51,7±3,2</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32,9±6,2</w:t>
            </w:r>
            <w:r w:rsidRPr="00A11646">
              <w:rPr>
                <w:rFonts w:ascii="Times New Roman" w:eastAsia="Times New Roman" w:hAnsi="Times New Roman"/>
                <w:sz w:val="28"/>
                <w:szCs w:val="28"/>
                <w:lang w:val="en-US"/>
              </w:rPr>
              <w:t>^</w:t>
            </w:r>
            <w:r w:rsidRPr="00A11646">
              <w:rPr>
                <w:rFonts w:ascii="Times New Roman" w:eastAsia="Times New Roman" w:hAnsi="Times New Roman"/>
                <w:sz w:val="28"/>
                <w:szCs w:val="28"/>
              </w:rPr>
              <w:t>*</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13,2+5,8</w:t>
            </w:r>
          </w:p>
        </w:tc>
        <w:tc>
          <w:tcPr>
            <w:tcW w:w="0" w:type="auto"/>
            <w:tcBorders>
              <w:top w:val="nil"/>
              <w:left w:val="nil"/>
              <w:bottom w:val="nil"/>
              <w:right w:val="single" w:sz="4" w:space="0" w:color="auto"/>
            </w:tcBorders>
            <w:shd w:val="clear" w:color="auto" w:fill="auto"/>
            <w:vAlign w:val="bottom"/>
          </w:tcPr>
          <w:p w:rsidR="00C328C9" w:rsidRPr="00A11646" w:rsidRDefault="00C328C9" w:rsidP="00C328C9">
            <w:pPr>
              <w:rPr>
                <w:rFonts w:ascii="Times New Roman" w:eastAsia="Times New Roman" w:hAnsi="Times New Roman"/>
                <w:sz w:val="28"/>
                <w:szCs w:val="28"/>
              </w:rPr>
            </w:pPr>
          </w:p>
        </w:tc>
      </w:tr>
      <w:tr w:rsidR="00C328C9" w:rsidRPr="00A11646" w:rsidTr="00C328C9">
        <w:trPr>
          <w:gridAfter w:val="1"/>
          <w:trHeight w:val="284"/>
        </w:trPr>
        <w:tc>
          <w:tcPr>
            <w:tcW w:w="888" w:type="dxa"/>
            <w:vMerge/>
            <w:vAlign w:val="center"/>
          </w:tcPr>
          <w:p w:rsidR="00C328C9" w:rsidRPr="00A11646" w:rsidRDefault="00C328C9" w:rsidP="00C328C9">
            <w:pPr>
              <w:spacing w:line="360" w:lineRule="auto"/>
              <w:jc w:val="center"/>
              <w:rPr>
                <w:rFonts w:ascii="Times New Roman" w:eastAsia="Times New Roman" w:hAnsi="Times New Roman"/>
                <w:sz w:val="28"/>
                <w:szCs w:val="28"/>
              </w:rPr>
            </w:pPr>
          </w:p>
        </w:tc>
        <w:tc>
          <w:tcPr>
            <w:tcW w:w="985" w:type="dxa"/>
            <w:tcBorders>
              <w:top w:val="nil"/>
            </w:tcBorders>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90,7</w:t>
            </w:r>
            <w:bookmarkStart w:id="131" w:name="_Hlk6074262"/>
            <w:r w:rsidRPr="00A11646">
              <w:rPr>
                <w:rFonts w:ascii="Times New Roman" w:eastAsia="Times New Roman" w:hAnsi="Times New Roman"/>
                <w:sz w:val="28"/>
                <w:szCs w:val="28"/>
              </w:rPr>
              <w:t>±</w:t>
            </w:r>
            <w:bookmarkEnd w:id="131"/>
            <w:r w:rsidRPr="00A11646">
              <w:rPr>
                <w:rFonts w:ascii="Times New Roman" w:eastAsia="Times New Roman" w:hAnsi="Times New Roman"/>
                <w:sz w:val="28"/>
                <w:szCs w:val="28"/>
              </w:rPr>
              <w:t>5,5*</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57,3±2,1</w:t>
            </w:r>
            <w:r w:rsidRPr="00A11646">
              <w:rPr>
                <w:rFonts w:ascii="Times New Roman" w:eastAsia="Times New Roman" w:hAnsi="Times New Roman"/>
                <w:sz w:val="28"/>
                <w:szCs w:val="28"/>
                <w:lang w:val="en-US"/>
              </w:rPr>
              <w:t>^</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22,8±3,2*</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10,4+2,0</w:t>
            </w:r>
          </w:p>
        </w:tc>
      </w:tr>
      <w:tr w:rsidR="00C328C9" w:rsidRPr="00A11646" w:rsidTr="00C328C9">
        <w:trPr>
          <w:gridAfter w:val="1"/>
          <w:trHeight w:val="284"/>
        </w:trPr>
        <w:tc>
          <w:tcPr>
            <w:tcW w:w="1873" w:type="dxa"/>
            <w:gridSpan w:val="2"/>
            <w:vAlign w:val="center"/>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bookmarkStart w:id="132" w:name="_Hlk6072910"/>
            <w:r w:rsidRPr="00A11646">
              <w:rPr>
                <w:rFonts w:ascii="Times New Roman" w:eastAsia="Times New Roman" w:hAnsi="Times New Roman"/>
                <w:sz w:val="28"/>
                <w:szCs w:val="28"/>
              </w:rPr>
              <w:t>86,5±5,8</w:t>
            </w:r>
            <w:bookmarkEnd w:id="132"/>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52,5±2,7</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17,4±2,3</w:t>
            </w:r>
          </w:p>
        </w:tc>
        <w:tc>
          <w:tcPr>
            <w:tcW w:w="1919" w:type="dxa"/>
            <w:tcBorders>
              <w:top w:val="single" w:sz="4" w:space="0" w:color="auto"/>
              <w:left w:val="nil"/>
              <w:bottom w:val="single" w:sz="4" w:space="0" w:color="auto"/>
              <w:right w:val="single" w:sz="4" w:space="0" w:color="auto"/>
            </w:tcBorders>
            <w:shd w:val="clear" w:color="auto" w:fill="auto"/>
            <w:vAlign w:val="center"/>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19,3±3,5**</w:t>
            </w:r>
          </w:p>
        </w:tc>
      </w:tr>
    </w:tbl>
    <w:p w:rsidR="00C328C9" w:rsidRPr="00A11646" w:rsidRDefault="00C328C9" w:rsidP="00C328C9">
      <w:pPr>
        <w:spacing w:after="0" w:line="24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достоверно по сравнению с показателями в контроле (*-P&lt;0,05; **-P&lt;0,01; ***-P&lt;0,001);</w:t>
      </w:r>
    </w:p>
    <w:p w:rsidR="00C328C9" w:rsidRPr="00A11646" w:rsidRDefault="00C328C9" w:rsidP="00C328C9">
      <w:pPr>
        <w:spacing w:after="0" w:line="240" w:lineRule="auto"/>
        <w:ind w:firstLine="708"/>
        <w:rPr>
          <w:rFonts w:ascii="Times New Roman" w:eastAsia="Times New Roman" w:hAnsi="Times New Roman"/>
          <w:sz w:val="28"/>
          <w:szCs w:val="28"/>
        </w:rPr>
      </w:pPr>
      <w:r w:rsidRPr="00A11646">
        <w:rPr>
          <w:rFonts w:ascii="Times New Roman" w:eastAsia="Times New Roman" w:hAnsi="Times New Roman"/>
          <w:sz w:val="28"/>
          <w:szCs w:val="28"/>
        </w:rPr>
        <w:t xml:space="preserve">^- достоверно по сравнению с показателями </w:t>
      </w:r>
      <w:r w:rsidRPr="00A11646">
        <w:rPr>
          <w:rFonts w:ascii="Times New Roman" w:eastAsia="Times New Roman" w:hAnsi="Times New Roman"/>
          <w:sz w:val="28"/>
          <w:szCs w:val="28"/>
          <w:lang w:val="en-US"/>
        </w:rPr>
        <w:t>G</w:t>
      </w:r>
      <w:r w:rsidRPr="00A11646">
        <w:rPr>
          <w:rFonts w:ascii="Times New Roman" w:eastAsia="Times New Roman" w:hAnsi="Times New Roman"/>
          <w:sz w:val="28"/>
          <w:szCs w:val="28"/>
        </w:rPr>
        <w:t xml:space="preserve"> λ (^-</w:t>
      </w:r>
      <w:r w:rsidRPr="00A11646">
        <w:rPr>
          <w:rFonts w:ascii="Times New Roman" w:eastAsia="Times New Roman" w:hAnsi="Times New Roman"/>
          <w:sz w:val="28"/>
          <w:szCs w:val="28"/>
          <w:lang w:val="en-US"/>
        </w:rPr>
        <w:t>P</w:t>
      </w:r>
      <w:bookmarkStart w:id="133" w:name="_Hlk6072818"/>
      <w:r w:rsidRPr="00A11646">
        <w:rPr>
          <w:rFonts w:ascii="Times New Roman" w:eastAsia="Times New Roman" w:hAnsi="Times New Roman"/>
          <w:sz w:val="28"/>
          <w:szCs w:val="28"/>
        </w:rPr>
        <w:t>&lt;0,05</w:t>
      </w:r>
      <w:bookmarkEnd w:id="133"/>
      <w:r w:rsidRPr="00A11646">
        <w:rPr>
          <w:rFonts w:ascii="Times New Roman" w:eastAsia="Times New Roman" w:hAnsi="Times New Roman"/>
          <w:sz w:val="28"/>
          <w:szCs w:val="28"/>
        </w:rPr>
        <w:t>)</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hAnsi="Times New Roman"/>
          <w:sz w:val="28"/>
          <w:szCs w:val="28"/>
        </w:rPr>
        <w:t xml:space="preserve"> Из данных, приведенных в таблице 3.2.2.1. очевидно, что при всех иммунохимических вариантах ММ отмечается увеличение количества общего белка. Однако уровень повышения различается между вариантами. Так, самые высокие показатели выявлены при варианте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 что составило 116,7±8,9 г/л</w:t>
      </w:r>
      <w:r w:rsidRPr="00A11646">
        <w:rPr>
          <w:rFonts w:ascii="Times New Roman" w:eastAsia="Times New Roman" w:hAnsi="Times New Roman"/>
          <w:sz w:val="28"/>
          <w:szCs w:val="28"/>
          <w:lang w:val="uz-Cyrl-UZ"/>
        </w:rPr>
        <w:t xml:space="preserve"> р</w:t>
      </w:r>
      <w:r w:rsidRPr="00A11646">
        <w:rPr>
          <w:rFonts w:ascii="Times New Roman" w:eastAsia="Times New Roman" w:hAnsi="Times New Roman"/>
          <w:sz w:val="28"/>
          <w:szCs w:val="28"/>
        </w:rPr>
        <w:t>&lt;0,0</w:t>
      </w:r>
      <w:r w:rsidRPr="00A11646">
        <w:rPr>
          <w:rFonts w:ascii="Times New Roman" w:eastAsia="Times New Roman" w:hAnsi="Times New Roman"/>
          <w:sz w:val="28"/>
          <w:szCs w:val="28"/>
          <w:lang w:val="uz-Cyrl-UZ"/>
        </w:rPr>
        <w:t>1)</w:t>
      </w:r>
      <w:r w:rsidRPr="00A11646">
        <w:rPr>
          <w:rFonts w:ascii="Times New Roman" w:eastAsia="Times New Roman" w:hAnsi="Times New Roman"/>
          <w:sz w:val="28"/>
          <w:szCs w:val="28"/>
        </w:rPr>
        <w:t xml:space="preserve">. Этот показатель превышал таковой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 κ</w:t>
      </w:r>
      <w:r w:rsidRPr="00A11646">
        <w:rPr>
          <w:rFonts w:ascii="Times New Roman" w:eastAsia="Times New Roman" w:hAnsi="Times New Roman"/>
          <w:sz w:val="28"/>
          <w:szCs w:val="28"/>
          <w:lang w:val="uz-Cyrl-UZ"/>
        </w:rPr>
        <w:t xml:space="preserve"> в 1,12 (</w:t>
      </w:r>
      <w:r w:rsidRPr="00A11646">
        <w:rPr>
          <w:rFonts w:ascii="Times New Roman" w:eastAsia="Times New Roman" w:hAnsi="Times New Roman"/>
          <w:sz w:val="28"/>
          <w:szCs w:val="28"/>
        </w:rPr>
        <w:t>104,4</w:t>
      </w:r>
      <w:r w:rsidRPr="00A11646">
        <w:rPr>
          <w:rFonts w:ascii="Times New Roman" w:eastAsia="Times New Roman" w:hAnsi="Times New Roman" w:cstheme="minorHAnsi"/>
          <w:sz w:val="28"/>
          <w:szCs w:val="28"/>
        </w:rPr>
        <w:t>±</w:t>
      </w:r>
      <w:r w:rsidRPr="00A11646">
        <w:rPr>
          <w:rFonts w:ascii="Times New Roman" w:eastAsia="Times New Roman" w:hAnsi="Times New Roman"/>
          <w:sz w:val="28"/>
          <w:szCs w:val="28"/>
        </w:rPr>
        <w:t>4,1</w:t>
      </w:r>
      <w:r w:rsidRPr="00A11646">
        <w:rPr>
          <w:rFonts w:ascii="Times New Roman" w:eastAsia="Times New Roman" w:hAnsi="Times New Roman"/>
          <w:sz w:val="28"/>
          <w:szCs w:val="28"/>
          <w:lang w:val="uz-Cyrl-UZ"/>
        </w:rPr>
        <w:t xml:space="preserve"> г/л; р&lt;0,001), при</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λ </w:t>
      </w:r>
      <w:r w:rsidRPr="00A11646">
        <w:rPr>
          <w:rFonts w:ascii="Times New Roman" w:eastAsia="Times New Roman" w:hAnsi="Times New Roman"/>
          <w:sz w:val="28"/>
          <w:szCs w:val="28"/>
          <w:lang w:val="uz-Cyrl-UZ"/>
        </w:rPr>
        <w:t>в 1,1 (</w:t>
      </w:r>
      <w:r w:rsidRPr="00A11646">
        <w:rPr>
          <w:rFonts w:ascii="Times New Roman" w:eastAsia="Times New Roman" w:hAnsi="Times New Roman"/>
          <w:sz w:val="28"/>
          <w:szCs w:val="28"/>
        </w:rPr>
        <w:t>105,4±4,4</w:t>
      </w:r>
      <w:r w:rsidRPr="00A11646">
        <w:rPr>
          <w:rFonts w:ascii="Times New Roman" w:eastAsia="Times New Roman" w:hAnsi="Times New Roman"/>
          <w:sz w:val="28"/>
          <w:szCs w:val="28"/>
          <w:lang w:val="uz-Cyrl-UZ"/>
        </w:rPr>
        <w:t xml:space="preserve"> г/л; рр&lt;0,05), при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 λ</w:t>
      </w:r>
      <w:r w:rsidRPr="00A11646">
        <w:rPr>
          <w:rFonts w:ascii="Times New Roman" w:eastAsia="Times New Roman" w:hAnsi="Times New Roman"/>
          <w:sz w:val="28"/>
          <w:szCs w:val="28"/>
          <w:lang w:val="uz-Cyrl-UZ"/>
        </w:rPr>
        <w:t xml:space="preserve"> в 1,3 (</w:t>
      </w:r>
      <w:bookmarkStart w:id="134" w:name="_Hlk6076958"/>
      <w:r w:rsidRPr="00A11646">
        <w:rPr>
          <w:rFonts w:ascii="Times New Roman" w:eastAsia="Times New Roman" w:hAnsi="Times New Roman"/>
          <w:sz w:val="28"/>
          <w:szCs w:val="28"/>
        </w:rPr>
        <w:t>90,7±5,5</w:t>
      </w:r>
      <w:r w:rsidRPr="00A11646">
        <w:rPr>
          <w:rFonts w:ascii="Times New Roman" w:eastAsia="Times New Roman" w:hAnsi="Times New Roman"/>
          <w:sz w:val="28"/>
          <w:szCs w:val="28"/>
          <w:lang w:val="uz-Cyrl-UZ"/>
        </w:rPr>
        <w:t xml:space="preserve"> г/л</w:t>
      </w:r>
      <w:bookmarkEnd w:id="134"/>
      <w:r w:rsidRPr="00A11646">
        <w:rPr>
          <w:rFonts w:ascii="Times New Roman" w:eastAsia="Times New Roman" w:hAnsi="Times New Roman"/>
          <w:sz w:val="28"/>
          <w:szCs w:val="28"/>
          <w:lang w:val="uz-Cyrl-UZ"/>
        </w:rPr>
        <w:t>;  р</w:t>
      </w:r>
      <w:r w:rsidRPr="00A11646">
        <w:rPr>
          <w:rFonts w:ascii="Times New Roman" w:eastAsia="Times New Roman" w:hAnsi="Times New Roman"/>
          <w:sz w:val="28"/>
          <w:szCs w:val="28"/>
        </w:rPr>
        <w:t>&lt;0,05</w:t>
      </w:r>
      <w:r w:rsidRPr="00A11646">
        <w:rPr>
          <w:rFonts w:ascii="Times New Roman" w:eastAsia="Times New Roman" w:hAnsi="Times New Roman"/>
          <w:sz w:val="28"/>
          <w:szCs w:val="28"/>
          <w:lang w:val="uz-Cyrl-UZ"/>
        </w:rPr>
        <w:t>) и при редких вариантах в 1,35 (</w:t>
      </w:r>
      <w:r w:rsidRPr="00A11646">
        <w:rPr>
          <w:rFonts w:ascii="Times New Roman" w:eastAsia="Times New Roman" w:hAnsi="Times New Roman"/>
          <w:sz w:val="28"/>
          <w:szCs w:val="28"/>
        </w:rPr>
        <w:t>86,5±5,8</w:t>
      </w:r>
      <w:r w:rsidRPr="00A11646">
        <w:rPr>
          <w:rFonts w:ascii="Times New Roman" w:eastAsia="Times New Roman" w:hAnsi="Times New Roman"/>
          <w:sz w:val="28"/>
          <w:szCs w:val="28"/>
          <w:lang w:val="uz-Cyrl-UZ"/>
        </w:rPr>
        <w:t xml:space="preserve"> г/л; р&gt;0,05) раз.</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t>Также следует отметить отличий</w:t>
      </w:r>
      <w:r w:rsidR="00AF3331">
        <w:rPr>
          <w:rFonts w:ascii="Times New Roman" w:hAnsi="Times New Roman"/>
          <w:sz w:val="28"/>
          <w:szCs w:val="28"/>
          <w:lang w:val="uz-Cyrl-UZ"/>
        </w:rPr>
        <w:t xml:space="preserve">, </w:t>
      </w:r>
      <w:r w:rsidRPr="00A11646">
        <w:rPr>
          <w:rFonts w:ascii="Times New Roman" w:hAnsi="Times New Roman"/>
          <w:sz w:val="28"/>
          <w:szCs w:val="28"/>
          <w:lang w:val="uz-Cyrl-UZ"/>
        </w:rPr>
        <w:t>в зависимости от стадии заболевания в количестве общего белка</w:t>
      </w:r>
      <w:r w:rsidR="00AF3331">
        <w:rPr>
          <w:rFonts w:ascii="Times New Roman" w:hAnsi="Times New Roman"/>
          <w:sz w:val="28"/>
          <w:szCs w:val="28"/>
          <w:lang w:val="uz-Cyrl-UZ"/>
        </w:rPr>
        <w:t>,</w:t>
      </w:r>
      <w:r w:rsidRPr="00A11646">
        <w:rPr>
          <w:rFonts w:ascii="Times New Roman" w:hAnsi="Times New Roman"/>
          <w:sz w:val="28"/>
          <w:szCs w:val="28"/>
          <w:lang w:val="uz-Cyrl-UZ"/>
        </w:rPr>
        <w:t xml:space="preserve"> не выявлено. Среднее количество общего белка у больных с А стадией ММ составило 98,6</w:t>
      </w:r>
      <w:r w:rsidRPr="00A11646">
        <w:rPr>
          <w:rFonts w:ascii="Times New Roman" w:eastAsia="Times New Roman" w:hAnsi="Times New Roman"/>
          <w:sz w:val="28"/>
          <w:szCs w:val="28"/>
        </w:rPr>
        <w:t>±5,5 г/л</w:t>
      </w:r>
      <w:r w:rsidRPr="00A11646">
        <w:rPr>
          <w:rFonts w:ascii="Times New Roman" w:eastAsia="Times New Roman" w:hAnsi="Times New Roman"/>
          <w:sz w:val="28"/>
          <w:szCs w:val="28"/>
          <w:lang w:val="uz-Cyrl-UZ"/>
        </w:rPr>
        <w:t xml:space="preserve"> (р</w:t>
      </w:r>
      <w:r w:rsidRPr="00A11646">
        <w:rPr>
          <w:rFonts w:ascii="Times New Roman" w:eastAsia="Times New Roman" w:hAnsi="Times New Roman"/>
          <w:sz w:val="28"/>
          <w:szCs w:val="28"/>
        </w:rPr>
        <w:t>&lt;0,0</w:t>
      </w:r>
      <w:r w:rsidRPr="00A11646">
        <w:rPr>
          <w:rFonts w:ascii="Times New Roman" w:eastAsia="Times New Roman" w:hAnsi="Times New Roman"/>
          <w:sz w:val="28"/>
          <w:szCs w:val="28"/>
          <w:lang w:val="uz-Cyrl-UZ"/>
        </w:rPr>
        <w:t>01)</w:t>
      </w:r>
      <w:r w:rsidRPr="00A11646">
        <w:rPr>
          <w:rFonts w:ascii="Times New Roman" w:eastAsia="Times New Roman" w:hAnsi="Times New Roman"/>
          <w:sz w:val="28"/>
          <w:szCs w:val="28"/>
        </w:rPr>
        <w:t xml:space="preserve">, </w:t>
      </w:r>
      <w:r w:rsidR="00AF3331">
        <w:rPr>
          <w:rFonts w:ascii="Times New Roman" w:eastAsia="Times New Roman" w:hAnsi="Times New Roman"/>
          <w:sz w:val="28"/>
          <w:szCs w:val="28"/>
          <w:lang w:val="uz-Cyrl-UZ"/>
        </w:rPr>
        <w:t xml:space="preserve">а </w:t>
      </w:r>
      <w:r w:rsidRPr="00A11646">
        <w:rPr>
          <w:rFonts w:ascii="Times New Roman" w:eastAsia="Times New Roman" w:hAnsi="Times New Roman"/>
          <w:sz w:val="28"/>
          <w:szCs w:val="28"/>
        </w:rPr>
        <w:t>со стадией В показатель в среднем составил 98,9 ±5,8 г/л</w:t>
      </w:r>
      <w:bookmarkStart w:id="135" w:name="_Hlk8240063"/>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w:t>
      </w:r>
      <w:r w:rsidRPr="00A11646">
        <w:rPr>
          <w:rFonts w:ascii="Times New Roman" w:eastAsia="Times New Roman" w:hAnsi="Times New Roman"/>
          <w:sz w:val="28"/>
          <w:szCs w:val="28"/>
          <w:lang w:val="uz-Cyrl-UZ"/>
        </w:rPr>
        <w:t>01)</w:t>
      </w:r>
      <w:bookmarkEnd w:id="135"/>
      <w:r w:rsidRPr="00A11646">
        <w:rPr>
          <w:rFonts w:ascii="Times New Roman" w:eastAsia="Times New Roman" w:hAnsi="Times New Roman"/>
          <w:sz w:val="28"/>
          <w:szCs w:val="28"/>
        </w:rPr>
        <w:t>. Наряду с этим с</w:t>
      </w:r>
      <w:r w:rsidRPr="00A11646">
        <w:rPr>
          <w:rFonts w:ascii="Times New Roman" w:eastAsia="Times New Roman" w:hAnsi="Times New Roman"/>
          <w:sz w:val="28"/>
          <w:szCs w:val="28"/>
          <w:lang w:val="uz-Cyrl-UZ"/>
        </w:rPr>
        <w:t xml:space="preserve">равнительный анализ количества этого показателя у больных со </w:t>
      </w:r>
      <w:r w:rsidRPr="00A11646">
        <w:rPr>
          <w:rFonts w:ascii="Times New Roman" w:eastAsia="Times New Roman" w:hAnsi="Times New Roman"/>
          <w:sz w:val="28"/>
          <w:szCs w:val="28"/>
          <w:lang w:val="en-US"/>
        </w:rPr>
        <w:t>II</w:t>
      </w:r>
      <w:r w:rsidRPr="00A11646">
        <w:rPr>
          <w:rFonts w:ascii="Times New Roman" w:eastAsia="Times New Roman" w:hAnsi="Times New Roman"/>
          <w:sz w:val="28"/>
          <w:szCs w:val="28"/>
        </w:rPr>
        <w:t xml:space="preserve"> (92,7±5,5</w:t>
      </w:r>
      <w:r w:rsidRPr="00A11646">
        <w:rPr>
          <w:rFonts w:ascii="Times New Roman" w:eastAsia="Times New Roman" w:hAnsi="Times New Roman"/>
          <w:sz w:val="28"/>
          <w:szCs w:val="28"/>
          <w:lang w:val="uz-Cyrl-UZ"/>
        </w:rPr>
        <w:t xml:space="preserve"> г/л; р</w:t>
      </w:r>
      <w:r w:rsidRPr="00A11646">
        <w:rPr>
          <w:rFonts w:ascii="Times New Roman" w:eastAsia="Times New Roman" w:hAnsi="Times New Roman"/>
          <w:sz w:val="28"/>
          <w:szCs w:val="28"/>
        </w:rPr>
        <w:t>&lt;0,0</w:t>
      </w:r>
      <w:r w:rsidRPr="00A11646">
        <w:rPr>
          <w:rFonts w:ascii="Times New Roman" w:eastAsia="Times New Roman" w:hAnsi="Times New Roman"/>
          <w:sz w:val="28"/>
          <w:szCs w:val="28"/>
          <w:lang w:val="uz-Cyrl-UZ"/>
        </w:rPr>
        <w:t>01</w:t>
      </w:r>
      <w:r w:rsidRPr="00A11646">
        <w:rPr>
          <w:rFonts w:ascii="Times New Roman" w:eastAsia="Times New Roman" w:hAnsi="Times New Roman"/>
          <w:sz w:val="28"/>
          <w:szCs w:val="28"/>
        </w:rPr>
        <w:t xml:space="preserve">) и </w:t>
      </w:r>
      <w:r w:rsidRPr="00A11646">
        <w:rPr>
          <w:rFonts w:ascii="Times New Roman" w:eastAsia="Times New Roman" w:hAnsi="Times New Roman"/>
          <w:sz w:val="28"/>
          <w:szCs w:val="28"/>
          <w:lang w:val="en-US"/>
        </w:rPr>
        <w:t>III</w:t>
      </w:r>
      <w:r w:rsidRPr="00A11646">
        <w:rPr>
          <w:rFonts w:ascii="Times New Roman" w:eastAsia="Times New Roman" w:hAnsi="Times New Roman"/>
          <w:sz w:val="28"/>
          <w:szCs w:val="28"/>
        </w:rPr>
        <w:t xml:space="preserve"> (100,3±5,7</w:t>
      </w:r>
      <w:r w:rsidRPr="00A11646">
        <w:rPr>
          <w:rFonts w:ascii="Times New Roman" w:eastAsia="Times New Roman" w:hAnsi="Times New Roman"/>
          <w:sz w:val="28"/>
          <w:szCs w:val="28"/>
          <w:lang w:val="uz-Cyrl-UZ"/>
        </w:rPr>
        <w:t xml:space="preserve"> г/л; р</w:t>
      </w:r>
      <w:r w:rsidRPr="00A11646">
        <w:rPr>
          <w:rFonts w:ascii="Times New Roman" w:eastAsia="Times New Roman" w:hAnsi="Times New Roman"/>
          <w:sz w:val="28"/>
          <w:szCs w:val="28"/>
        </w:rPr>
        <w:t>&lt;0,0</w:t>
      </w:r>
      <w:r w:rsidRPr="00A11646">
        <w:rPr>
          <w:rFonts w:ascii="Times New Roman" w:eastAsia="Times New Roman" w:hAnsi="Times New Roman"/>
          <w:sz w:val="28"/>
          <w:szCs w:val="28"/>
          <w:lang w:val="uz-Cyrl-UZ"/>
        </w:rPr>
        <w:t>01</w:t>
      </w:r>
      <w:r w:rsidRPr="00A11646">
        <w:rPr>
          <w:rFonts w:ascii="Times New Roman" w:eastAsia="Times New Roman" w:hAnsi="Times New Roman"/>
          <w:sz w:val="28"/>
          <w:szCs w:val="28"/>
        </w:rPr>
        <w:t>) стадией ММ показал наличие некоторого различия, заключающееся в</w:t>
      </w:r>
      <w:r w:rsidR="003C7FFA">
        <w:rPr>
          <w:rFonts w:ascii="Times New Roman" w:eastAsia="Times New Roman" w:hAnsi="Times New Roman"/>
          <w:sz w:val="28"/>
          <w:szCs w:val="28"/>
        </w:rPr>
        <w:t xml:space="preserve"> его увеличении в 1,08 раз при</w:t>
      </w:r>
      <w:r w:rsidR="003C7FFA">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en-US"/>
        </w:rPr>
        <w:t>III</w:t>
      </w:r>
      <w:r w:rsidR="003C7FFA">
        <w:rPr>
          <w:rFonts w:ascii="Times New Roman" w:eastAsia="Times New Roman" w:hAnsi="Times New Roman"/>
          <w:sz w:val="28"/>
          <w:szCs w:val="28"/>
          <w:lang w:val="uz-Cyrl-UZ"/>
        </w:rPr>
        <w:t xml:space="preserve"> стадии</w:t>
      </w:r>
      <w:r w:rsidRPr="00A11646">
        <w:rPr>
          <w:rFonts w:ascii="Times New Roman" w:eastAsia="Times New Roman" w:hAnsi="Times New Roman"/>
          <w:sz w:val="28"/>
          <w:szCs w:val="28"/>
        </w:rPr>
        <w:t xml:space="preserve"> заболевания (рис.3.2.2.1.). </w:t>
      </w:r>
      <w:r w:rsidRPr="00A11646">
        <w:rPr>
          <w:rFonts w:ascii="Times New Roman" w:eastAsia="Times New Roman" w:hAnsi="Times New Roman"/>
          <w:sz w:val="28"/>
          <w:szCs w:val="28"/>
        </w:rPr>
        <w:lastRenderedPageBreak/>
        <w:t xml:space="preserve">Соответственно этот факт подчеркивает наличие более глубоких нарушений и тяжелого течения ММ при </w:t>
      </w:r>
      <w:r w:rsidRPr="00A11646">
        <w:rPr>
          <w:rFonts w:ascii="Times New Roman" w:eastAsia="Times New Roman" w:hAnsi="Times New Roman"/>
          <w:sz w:val="28"/>
          <w:szCs w:val="28"/>
          <w:lang w:val="en-US"/>
        </w:rPr>
        <w:t>III</w:t>
      </w:r>
      <w:r w:rsidRPr="00A11646">
        <w:rPr>
          <w:rFonts w:ascii="Times New Roman" w:eastAsia="Times New Roman" w:hAnsi="Times New Roman"/>
          <w:sz w:val="28"/>
          <w:szCs w:val="28"/>
        </w:rPr>
        <w:t xml:space="preserve"> стадии.</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bookmarkStart w:id="136" w:name="_Hlk6082461"/>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noProof/>
          <w:sz w:val="28"/>
          <w:szCs w:val="28"/>
        </w:rPr>
        <w:drawing>
          <wp:inline distT="0" distB="0" distL="0" distR="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b/>
          <w:sz w:val="28"/>
          <w:szCs w:val="28"/>
        </w:rPr>
      </w:pPr>
      <w:r w:rsidRPr="00A11646">
        <w:rPr>
          <w:rFonts w:ascii="Times New Roman" w:eastAsia="Times New Roman" w:hAnsi="Times New Roman"/>
          <w:b/>
          <w:sz w:val="28"/>
          <w:szCs w:val="28"/>
        </w:rPr>
        <w:t>Рис. 3.2.2.1. Сравнительный анализ уровня общего белка крови в зависимости от стадии ММ.</w:t>
      </w:r>
    </w:p>
    <w:bookmarkEnd w:id="136"/>
    <w:p w:rsidR="00C328C9" w:rsidRPr="00A11646" w:rsidRDefault="00F75B16" w:rsidP="00C328C9">
      <w:pPr>
        <w:autoSpaceDE w:val="0"/>
        <w:autoSpaceDN w:val="0"/>
        <w:adjustRightInd w:val="0"/>
        <w:spacing w:after="0" w:line="360" w:lineRule="auto"/>
        <w:ind w:firstLine="708"/>
        <w:jc w:val="both"/>
        <w:rPr>
          <w:rFonts w:ascii="Times New Roman" w:eastAsia="Times New Roman" w:hAnsi="Times New Roman"/>
          <w:sz w:val="28"/>
          <w:szCs w:val="28"/>
        </w:rPr>
      </w:pPr>
      <w:r>
        <w:rPr>
          <w:rFonts w:ascii="Times New Roman" w:eastAsia="Times New Roman" w:hAnsi="Times New Roman"/>
          <w:sz w:val="28"/>
          <w:szCs w:val="28"/>
          <w:lang w:val="uz-Cyrl-UZ"/>
        </w:rPr>
        <w:t>К</w:t>
      </w:r>
      <w:r w:rsidR="00C328C9" w:rsidRPr="00A11646">
        <w:rPr>
          <w:rFonts w:ascii="Times New Roman" w:hAnsi="Times New Roman"/>
          <w:sz w:val="28"/>
          <w:szCs w:val="28"/>
        </w:rPr>
        <w:t xml:space="preserve">онцентрация альбумина при </w:t>
      </w:r>
      <w:r w:rsidR="00C328C9" w:rsidRPr="00A11646">
        <w:rPr>
          <w:rFonts w:ascii="Times New Roman" w:eastAsia="Times New Roman" w:hAnsi="Times New Roman"/>
          <w:sz w:val="28"/>
          <w:szCs w:val="28"/>
          <w:lang w:val="en-US"/>
        </w:rPr>
        <w:t>IgG</w:t>
      </w:r>
      <w:r w:rsidR="00C328C9" w:rsidRPr="00A11646">
        <w:rPr>
          <w:rFonts w:ascii="Times New Roman" w:eastAsia="Times New Roman" w:hAnsi="Times New Roman"/>
          <w:sz w:val="28"/>
          <w:szCs w:val="28"/>
        </w:rPr>
        <w:t xml:space="preserve"> κ</w:t>
      </w:r>
      <w:r w:rsidR="00C328C9" w:rsidRPr="00A11646">
        <w:rPr>
          <w:rFonts w:ascii="Times New Roman" w:hAnsi="Times New Roman"/>
          <w:sz w:val="28"/>
          <w:szCs w:val="28"/>
        </w:rPr>
        <w:t xml:space="preserve"> -</w:t>
      </w:r>
      <w:r w:rsidR="00C328C9" w:rsidRPr="00A11646">
        <w:rPr>
          <w:rFonts w:ascii="Times New Roman" w:eastAsia="Times New Roman" w:hAnsi="Times New Roman"/>
          <w:sz w:val="28"/>
          <w:szCs w:val="28"/>
        </w:rPr>
        <w:t xml:space="preserve"> ММ составила 53,1±81,1% </w:t>
      </w:r>
      <w:r w:rsidR="00C328C9" w:rsidRPr="00A11646">
        <w:rPr>
          <w:rFonts w:ascii="Times New Roman" w:eastAsia="Times New Roman" w:hAnsi="Times New Roman"/>
          <w:sz w:val="28"/>
          <w:szCs w:val="28"/>
          <w:lang w:val="uz-Cyrl-UZ"/>
        </w:rPr>
        <w:t>(р</w:t>
      </w:r>
      <w:r w:rsidR="00C328C9" w:rsidRPr="00A11646">
        <w:rPr>
          <w:rFonts w:ascii="Times New Roman" w:eastAsia="Times New Roman" w:hAnsi="Times New Roman"/>
          <w:sz w:val="28"/>
          <w:szCs w:val="28"/>
        </w:rPr>
        <w:t>&lt;0,0</w:t>
      </w:r>
      <w:r w:rsidR="00C328C9" w:rsidRPr="00A11646">
        <w:rPr>
          <w:rFonts w:ascii="Times New Roman" w:eastAsia="Times New Roman" w:hAnsi="Times New Roman"/>
          <w:sz w:val="28"/>
          <w:szCs w:val="28"/>
          <w:lang w:val="uz-Cyrl-UZ"/>
        </w:rPr>
        <w:t xml:space="preserve">5), при </w:t>
      </w:r>
      <w:r w:rsidR="00C328C9" w:rsidRPr="00A11646">
        <w:rPr>
          <w:rFonts w:ascii="Times New Roman" w:eastAsia="Times New Roman" w:hAnsi="Times New Roman"/>
          <w:sz w:val="28"/>
          <w:szCs w:val="28"/>
          <w:lang w:val="en-US"/>
        </w:rPr>
        <w:t>IgG</w:t>
      </w:r>
      <w:r w:rsidR="00C328C9" w:rsidRPr="00A11646">
        <w:rPr>
          <w:rFonts w:ascii="Times New Roman" w:eastAsia="Times New Roman" w:hAnsi="Times New Roman"/>
          <w:sz w:val="28"/>
          <w:szCs w:val="28"/>
        </w:rPr>
        <w:t>λ ММ -  51,6</w:t>
      </w:r>
      <w:r w:rsidR="00C328C9" w:rsidRPr="00A11646">
        <w:rPr>
          <w:rFonts w:ascii="Times New Roman" w:eastAsia="Times New Roman" w:hAnsi="Times New Roman" w:cstheme="minorHAnsi"/>
          <w:sz w:val="28"/>
          <w:szCs w:val="28"/>
        </w:rPr>
        <w:t>±</w:t>
      </w:r>
      <w:r w:rsidR="00C328C9" w:rsidRPr="00A11646">
        <w:rPr>
          <w:rFonts w:ascii="Times New Roman" w:eastAsia="Times New Roman" w:hAnsi="Times New Roman"/>
          <w:sz w:val="28"/>
          <w:szCs w:val="28"/>
        </w:rPr>
        <w:t>1,0%</w:t>
      </w:r>
      <w:r w:rsidR="00C328C9" w:rsidRPr="00A11646">
        <w:rPr>
          <w:rFonts w:ascii="Times New Roman" w:eastAsia="Times New Roman" w:hAnsi="Times New Roman"/>
          <w:sz w:val="28"/>
          <w:szCs w:val="28"/>
          <w:lang w:val="uz-Cyrl-UZ"/>
        </w:rPr>
        <w:t xml:space="preserve"> (р</w:t>
      </w:r>
      <w:r w:rsidR="00C328C9" w:rsidRPr="00A11646">
        <w:rPr>
          <w:rFonts w:ascii="Times New Roman" w:eastAsia="Times New Roman" w:hAnsi="Times New Roman"/>
          <w:sz w:val="28"/>
          <w:szCs w:val="28"/>
        </w:rPr>
        <w:t>&lt;0,0</w:t>
      </w:r>
      <w:r w:rsidR="00C328C9" w:rsidRPr="00A11646">
        <w:rPr>
          <w:rFonts w:ascii="Times New Roman" w:eastAsia="Times New Roman" w:hAnsi="Times New Roman"/>
          <w:sz w:val="28"/>
          <w:szCs w:val="28"/>
          <w:lang w:val="uz-Cyrl-UZ"/>
        </w:rPr>
        <w:t>1), при</w:t>
      </w:r>
      <w:r w:rsidR="00C328C9" w:rsidRPr="00A11646">
        <w:rPr>
          <w:rFonts w:ascii="Times New Roman" w:hAnsi="Times New Roman"/>
          <w:sz w:val="28"/>
          <w:szCs w:val="28"/>
          <w:lang w:val="en-US"/>
        </w:rPr>
        <w:t>g</w:t>
      </w:r>
      <w:r w:rsidR="00C328C9" w:rsidRPr="00A11646">
        <w:rPr>
          <w:rFonts w:ascii="Times New Roman" w:hAnsi="Times New Roman"/>
          <w:sz w:val="28"/>
          <w:szCs w:val="28"/>
          <w:lang w:val="uz-Cyrl-UZ"/>
        </w:rPr>
        <w:t>А</w:t>
      </w:r>
      <w:r w:rsidR="00C328C9" w:rsidRPr="00A11646">
        <w:rPr>
          <w:rFonts w:ascii="Times New Roman" w:eastAsia="Times New Roman" w:hAnsi="Times New Roman"/>
          <w:sz w:val="28"/>
          <w:szCs w:val="28"/>
        </w:rPr>
        <w:t>κ  - 51,7±3,2% (</w:t>
      </w:r>
      <w:r w:rsidR="00C328C9" w:rsidRPr="00A11646">
        <w:rPr>
          <w:rFonts w:ascii="Times New Roman" w:eastAsia="Times New Roman" w:hAnsi="Times New Roman"/>
          <w:sz w:val="28"/>
          <w:szCs w:val="28"/>
          <w:lang w:val="uz-Cyrl-UZ"/>
        </w:rPr>
        <w:t xml:space="preserve">р&gt;0,05), при  </w:t>
      </w:r>
      <w:r w:rsidR="00C328C9" w:rsidRPr="00A11646">
        <w:rPr>
          <w:rFonts w:ascii="Times New Roman" w:eastAsia="Times New Roman" w:hAnsi="Times New Roman"/>
          <w:sz w:val="28"/>
          <w:szCs w:val="28"/>
          <w:lang w:val="en-US"/>
        </w:rPr>
        <w:t>IgA</w:t>
      </w:r>
      <w:r w:rsidR="00C328C9" w:rsidRPr="00A11646">
        <w:rPr>
          <w:rFonts w:ascii="Times New Roman" w:eastAsia="Times New Roman" w:hAnsi="Times New Roman"/>
          <w:sz w:val="28"/>
          <w:szCs w:val="28"/>
        </w:rPr>
        <w:t xml:space="preserve"> λ</w:t>
      </w:r>
      <w:r w:rsidR="00C328C9" w:rsidRPr="00A11646">
        <w:rPr>
          <w:rFonts w:ascii="Times New Roman" w:eastAsia="Times New Roman" w:hAnsi="Times New Roman"/>
          <w:sz w:val="28"/>
          <w:szCs w:val="28"/>
          <w:lang w:val="uz-Cyrl-UZ"/>
        </w:rPr>
        <w:t xml:space="preserve"> -57,3</w:t>
      </w:r>
      <w:r w:rsidR="00C328C9" w:rsidRPr="00A11646">
        <w:rPr>
          <w:rFonts w:ascii="Times New Roman" w:eastAsia="Times New Roman" w:hAnsi="Times New Roman"/>
          <w:sz w:val="28"/>
          <w:szCs w:val="28"/>
        </w:rPr>
        <w:t>±2,1% (</w:t>
      </w:r>
      <w:r w:rsidR="00C328C9" w:rsidRPr="00A11646">
        <w:rPr>
          <w:rFonts w:ascii="Times New Roman" w:eastAsia="Times New Roman" w:hAnsi="Times New Roman"/>
          <w:sz w:val="28"/>
          <w:szCs w:val="28"/>
          <w:lang w:val="uz-Cyrl-UZ"/>
        </w:rPr>
        <w:t>р</w:t>
      </w:r>
      <w:r w:rsidR="00C328C9" w:rsidRPr="00A11646">
        <w:rPr>
          <w:rFonts w:ascii="Times New Roman" w:eastAsia="Times New Roman" w:hAnsi="Times New Roman"/>
          <w:sz w:val="28"/>
          <w:szCs w:val="28"/>
        </w:rPr>
        <w:t>&lt;0,05</w:t>
      </w:r>
      <w:r w:rsidR="00C328C9" w:rsidRPr="00A11646">
        <w:rPr>
          <w:rFonts w:ascii="Times New Roman" w:eastAsia="Times New Roman" w:hAnsi="Times New Roman"/>
          <w:sz w:val="28"/>
          <w:szCs w:val="28"/>
          <w:lang w:val="uz-Cyrl-UZ"/>
        </w:rPr>
        <w:t>) и при редких вариантах 52,5</w:t>
      </w:r>
      <w:r w:rsidR="00C328C9" w:rsidRPr="00A11646">
        <w:rPr>
          <w:rFonts w:ascii="Times New Roman" w:eastAsia="Times New Roman" w:hAnsi="Times New Roman"/>
          <w:sz w:val="28"/>
          <w:szCs w:val="28"/>
        </w:rPr>
        <w:t>±2,7% (</w:t>
      </w:r>
      <w:r w:rsidR="00C328C9" w:rsidRPr="00A11646">
        <w:rPr>
          <w:rFonts w:ascii="Times New Roman" w:eastAsia="Times New Roman" w:hAnsi="Times New Roman"/>
          <w:sz w:val="28"/>
          <w:szCs w:val="28"/>
          <w:lang w:val="uz-Cyrl-UZ"/>
        </w:rPr>
        <w:t xml:space="preserve">р&gt;0,05) </w:t>
      </w:r>
      <w:r w:rsidR="00C328C9" w:rsidRPr="00A11646">
        <w:rPr>
          <w:rFonts w:ascii="Times New Roman" w:eastAsia="Times New Roman" w:hAnsi="Times New Roman"/>
          <w:sz w:val="28"/>
          <w:szCs w:val="28"/>
        </w:rPr>
        <w:t>(табл. 3.2.2.1.).</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Далее мы провели анализ результатов изучения уровня γ – и β</w:t>
      </w:r>
      <w:r w:rsidRPr="00A11646">
        <w:rPr>
          <w:rFonts w:ascii="Times New Roman" w:hAnsi="Times New Roman"/>
          <w:sz w:val="28"/>
          <w:szCs w:val="28"/>
          <w:vertAlign w:val="subscript"/>
        </w:rPr>
        <w:t>2</w:t>
      </w:r>
      <w:r w:rsidRPr="00A11646">
        <w:rPr>
          <w:rFonts w:ascii="Times New Roman" w:hAnsi="Times New Roman"/>
          <w:sz w:val="28"/>
          <w:szCs w:val="28"/>
        </w:rPr>
        <w:t xml:space="preserve">-микроглобулинов в сыворотке крови больных ММ. Известно, что эти микроглобулины, являясь низкомолекулярными белками, представляют собой компонент легких цепей сложного антигенного комплекса [39, с. 73-780]. В здоровом организме они экскретируются с мочой. В условиях миеломной нефропатии уровни микроглобулинов в крови, соответственно повышаются, что позволяет их рассматривать в качестве прогностического маркера течения ММ </w:t>
      </w:r>
      <w:r w:rsidRPr="00A11646">
        <w:rPr>
          <w:rFonts w:ascii="Times New Roman" w:eastAsia="Calibri" w:hAnsi="Times New Roman"/>
          <w:sz w:val="28"/>
          <w:szCs w:val="28"/>
        </w:rPr>
        <w:t>[44, с. С. 269-280; 104, с. 189-196; 105, с. 101-118]</w:t>
      </w:r>
      <w:r w:rsidRPr="00A11646">
        <w:rPr>
          <w:rFonts w:ascii="Times New Roman" w:hAnsi="Times New Roman"/>
          <w:sz w:val="28"/>
          <w:szCs w:val="28"/>
        </w:rPr>
        <w:t xml:space="preserve">. </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rPr>
        <w:t xml:space="preserve">Изучая их уровни при иммунохимических вариантах заболевания выявлено отклонение их значений от нормы в сторону повышения. В </w:t>
      </w:r>
      <w:r w:rsidRPr="00A11646">
        <w:rPr>
          <w:rFonts w:ascii="Times New Roman" w:hAnsi="Times New Roman"/>
          <w:sz w:val="28"/>
          <w:szCs w:val="28"/>
        </w:rPr>
        <w:lastRenderedPageBreak/>
        <w:t xml:space="preserve">частности, </w:t>
      </w:r>
      <w:r w:rsidRPr="00A11646">
        <w:rPr>
          <w:rFonts w:ascii="Times New Roman" w:eastAsia="Times New Roman" w:hAnsi="Times New Roman"/>
          <w:sz w:val="28"/>
          <w:szCs w:val="28"/>
        </w:rPr>
        <w:t xml:space="preserve">γ- микроглобулин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λ </w:t>
      </w:r>
      <w:r w:rsidRPr="00A11646">
        <w:rPr>
          <w:rFonts w:ascii="Times New Roman" w:eastAsia="Times New Roman" w:hAnsi="Times New Roman"/>
          <w:sz w:val="28"/>
          <w:szCs w:val="28"/>
          <w:lang w:val="uz-Cyrl-UZ"/>
        </w:rPr>
        <w:t xml:space="preserve">составил </w:t>
      </w:r>
      <w:r w:rsidRPr="00A11646">
        <w:rPr>
          <w:rFonts w:ascii="Times New Roman" w:eastAsia="Times New Roman" w:hAnsi="Times New Roman"/>
          <w:sz w:val="28"/>
          <w:szCs w:val="28"/>
        </w:rPr>
        <w:t>22,8±2,1%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&lt;0,01</w:t>
      </w:r>
      <w:r w:rsidRPr="00A11646">
        <w:rPr>
          <w:rFonts w:ascii="Times New Roman" w:eastAsia="Times New Roman" w:hAnsi="Times New Roman"/>
          <w:sz w:val="28"/>
          <w:szCs w:val="28"/>
          <w:lang w:val="uz-Cyrl-UZ"/>
        </w:rPr>
        <w:t>), при</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 - 32,9±6,2%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 xml:space="preserve">0,001), при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 -22,8±3,2% (</w:t>
      </w:r>
      <w:bookmarkStart w:id="137" w:name="_Hlk8240794"/>
      <w:r w:rsidRPr="00A11646">
        <w:rPr>
          <w:rFonts w:ascii="Times New Roman" w:eastAsia="Times New Roman" w:hAnsi="Times New Roman"/>
          <w:sz w:val="28"/>
          <w:szCs w:val="28"/>
          <w:lang w:val="uz-Cyrl-UZ"/>
        </w:rPr>
        <w:t>р</w:t>
      </w:r>
      <w:bookmarkStart w:id="138" w:name="_Hlk6078802"/>
      <w:r w:rsidRPr="00A11646">
        <w:rPr>
          <w:rFonts w:ascii="Times New Roman" w:eastAsia="Times New Roman" w:hAnsi="Times New Roman"/>
          <w:sz w:val="28"/>
          <w:szCs w:val="28"/>
        </w:rPr>
        <w:t>&lt;</w:t>
      </w:r>
      <w:bookmarkEnd w:id="138"/>
      <w:r w:rsidRPr="00A11646">
        <w:rPr>
          <w:rFonts w:ascii="Times New Roman" w:eastAsia="Times New Roman" w:hAnsi="Times New Roman"/>
          <w:sz w:val="28"/>
          <w:szCs w:val="28"/>
        </w:rPr>
        <w:t>0,05</w:t>
      </w:r>
      <w:bookmarkEnd w:id="137"/>
      <w:r w:rsidRPr="00A11646">
        <w:rPr>
          <w:rFonts w:ascii="Times New Roman" w:eastAsia="Times New Roman" w:hAnsi="Times New Roman"/>
          <w:sz w:val="28"/>
          <w:szCs w:val="28"/>
          <w:lang w:val="uz-Cyrl-UZ"/>
        </w:rPr>
        <w:t xml:space="preserve">). Уровень </w:t>
      </w:r>
      <w:r w:rsidRPr="00A11646">
        <w:rPr>
          <w:rFonts w:ascii="Times New Roman" w:eastAsia="Times New Roman" w:hAnsi="Times New Roman"/>
          <w:sz w:val="28"/>
          <w:szCs w:val="28"/>
        </w:rPr>
        <w:t xml:space="preserve">γ- микроглобулина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 κ и </w:t>
      </w:r>
      <w:r w:rsidRPr="00A11646">
        <w:rPr>
          <w:rFonts w:ascii="Times New Roman" w:eastAsia="Times New Roman" w:hAnsi="Times New Roman"/>
          <w:sz w:val="28"/>
          <w:szCs w:val="28"/>
          <w:lang w:val="uz-Cyrl-UZ"/>
        </w:rPr>
        <w:t>редких вариантах  находился в пределах нормы (</w:t>
      </w:r>
      <w:r w:rsidRPr="00A11646">
        <w:rPr>
          <w:rFonts w:ascii="Times New Roman" w:eastAsia="Times New Roman" w:hAnsi="Times New Roman"/>
          <w:sz w:val="28"/>
          <w:szCs w:val="28"/>
        </w:rPr>
        <w:t xml:space="preserve">18,4±1,6% и 17,4±2,3%, соответственно,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&lt;0,001 и</w:t>
      </w:r>
      <w:r w:rsidRPr="00A11646">
        <w:rPr>
          <w:rFonts w:ascii="Times New Roman" w:eastAsia="Times New Roman" w:hAnsi="Times New Roman"/>
          <w:sz w:val="28"/>
          <w:szCs w:val="28"/>
          <w:lang w:val="uz-Cyrl-UZ"/>
        </w:rPr>
        <w:t xml:space="preserve"> р</w:t>
      </w:r>
      <w:r w:rsidRPr="00A11646">
        <w:rPr>
          <w:rFonts w:ascii="Times New Roman" w:eastAsia="Times New Roman" w:hAnsi="Times New Roman"/>
          <w:sz w:val="28"/>
          <w:szCs w:val="28"/>
        </w:rPr>
        <w:t xml:space="preserve">&gt;0,05 ). </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Содержание </w:t>
      </w:r>
      <w:bookmarkStart w:id="139" w:name="_Hlk6079412"/>
      <w:r w:rsidRPr="00A11646">
        <w:rPr>
          <w:rFonts w:ascii="Times New Roman" w:eastAsia="Times New Roman" w:hAnsi="Times New Roman"/>
          <w:sz w:val="28"/>
          <w:szCs w:val="28"/>
        </w:rPr>
        <w:t>β</w:t>
      </w:r>
      <w:r w:rsidRPr="00A11646">
        <w:rPr>
          <w:rFonts w:ascii="Times New Roman" w:eastAsia="Times New Roman" w:hAnsi="Times New Roman"/>
          <w:sz w:val="28"/>
          <w:szCs w:val="28"/>
          <w:vertAlign w:val="subscript"/>
          <w:lang w:val="uz-Cyrl-UZ"/>
        </w:rPr>
        <w:t>2</w:t>
      </w:r>
      <w:r w:rsidRPr="00A11646">
        <w:rPr>
          <w:rFonts w:ascii="Times New Roman" w:eastAsia="Times New Roman" w:hAnsi="Times New Roman"/>
          <w:sz w:val="28"/>
          <w:szCs w:val="28"/>
        </w:rPr>
        <w:t xml:space="preserve">- микроглобулина </w:t>
      </w:r>
      <w:bookmarkEnd w:id="139"/>
      <w:r w:rsidRPr="00A11646">
        <w:rPr>
          <w:rFonts w:ascii="Times New Roman" w:eastAsia="Times New Roman" w:hAnsi="Times New Roman"/>
          <w:sz w:val="28"/>
          <w:szCs w:val="28"/>
        </w:rPr>
        <w:t xml:space="preserve">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κ</w:t>
      </w:r>
      <w:r w:rsidR="006C7568">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uz-Cyrl-UZ"/>
        </w:rPr>
        <w:t xml:space="preserve">составило </w:t>
      </w:r>
      <w:r w:rsidRPr="00A11646">
        <w:rPr>
          <w:rFonts w:ascii="Times New Roman" w:eastAsia="Times New Roman" w:hAnsi="Times New Roman"/>
          <w:sz w:val="28"/>
          <w:szCs w:val="28"/>
        </w:rPr>
        <w:t>15,4+1,0%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&lt;0,001</w:t>
      </w:r>
      <w:r w:rsidRPr="00A11646">
        <w:rPr>
          <w:rFonts w:ascii="Times New Roman" w:eastAsia="Times New Roman" w:hAnsi="Times New Roman"/>
          <w:sz w:val="28"/>
          <w:szCs w:val="28"/>
          <w:lang w:val="uz-Cyrl-UZ"/>
        </w:rPr>
        <w:t>), при</w:t>
      </w:r>
      <w:bookmarkStart w:id="140" w:name="_Hlk6079126"/>
      <w:r w:rsidR="006C7568">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λ </w:t>
      </w:r>
      <w:r w:rsidR="006C7568" w:rsidRPr="00A11646">
        <w:rPr>
          <w:rFonts w:ascii="Times New Roman" w:eastAsia="Times New Roman" w:hAnsi="Times New Roman"/>
          <w:sz w:val="28"/>
          <w:szCs w:val="28"/>
          <w:lang w:val="uz-Cyrl-UZ"/>
        </w:rPr>
        <w:t>составило</w:t>
      </w:r>
      <w:r w:rsidR="006C7568" w:rsidRPr="00A11646">
        <w:rPr>
          <w:rFonts w:ascii="Times New Roman" w:eastAsia="Times New Roman" w:hAnsi="Times New Roman"/>
          <w:sz w:val="28"/>
          <w:szCs w:val="28"/>
        </w:rPr>
        <w:t xml:space="preserve"> </w:t>
      </w:r>
      <w:r w:rsidRPr="00A11646">
        <w:rPr>
          <w:rFonts w:ascii="Times New Roman" w:eastAsia="Times New Roman" w:hAnsi="Times New Roman"/>
          <w:sz w:val="28"/>
          <w:szCs w:val="28"/>
        </w:rPr>
        <w:t xml:space="preserve">- 14,5+1,7% </w:t>
      </w:r>
      <w:bookmarkEnd w:id="140"/>
      <w:r w:rsidRPr="00A11646">
        <w:rPr>
          <w:rFonts w:ascii="Times New Roman" w:eastAsia="Times New Roman" w:hAnsi="Times New Roman"/>
          <w:sz w:val="28"/>
          <w:szCs w:val="28"/>
        </w:rPr>
        <w:t>(</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&lt;0,01)</w:t>
      </w:r>
      <w:r w:rsidRPr="00A11646">
        <w:rPr>
          <w:rFonts w:ascii="Times New Roman" w:eastAsia="Times New Roman" w:hAnsi="Times New Roman"/>
          <w:sz w:val="28"/>
          <w:szCs w:val="28"/>
          <w:lang w:val="uz-Cyrl-UZ"/>
        </w:rPr>
        <w:t>, при</w:t>
      </w:r>
      <w:r w:rsidR="006C7568">
        <w:rPr>
          <w:rFonts w:ascii="Times New Roman" w:eastAsia="Times New Roman" w:hAnsi="Times New Roman"/>
          <w:sz w:val="28"/>
          <w:szCs w:val="28"/>
          <w:lang w:val="uz-Cyrl-UZ"/>
        </w:rPr>
        <w:t xml:space="preserve">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 13,2+5,8%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 xml:space="preserve">0,05), при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 λ- </w:t>
      </w:r>
      <w:bookmarkStart w:id="141" w:name="_Hlk6080063"/>
      <w:r w:rsidRPr="00A11646">
        <w:rPr>
          <w:rFonts w:ascii="Times New Roman" w:eastAsia="Times New Roman" w:hAnsi="Times New Roman"/>
          <w:sz w:val="28"/>
          <w:szCs w:val="28"/>
        </w:rPr>
        <w:t>10,4+2,0%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&gt;0,05</w:t>
      </w:r>
      <w:r w:rsidRPr="00A11646">
        <w:rPr>
          <w:rFonts w:ascii="Times New Roman" w:eastAsia="Times New Roman" w:hAnsi="Times New Roman"/>
          <w:sz w:val="28"/>
          <w:szCs w:val="28"/>
          <w:lang w:val="uz-Cyrl-UZ"/>
        </w:rPr>
        <w:t xml:space="preserve">) </w:t>
      </w:r>
      <w:bookmarkEnd w:id="141"/>
      <w:r w:rsidRPr="00A11646">
        <w:rPr>
          <w:rFonts w:ascii="Times New Roman" w:eastAsia="Times New Roman" w:hAnsi="Times New Roman"/>
          <w:sz w:val="28"/>
          <w:szCs w:val="28"/>
          <w:lang w:val="uz-Cyrl-UZ"/>
        </w:rPr>
        <w:t xml:space="preserve">и  при редких вариантах  находился в пределах нормы  </w:t>
      </w:r>
      <w:r w:rsidRPr="00A11646">
        <w:rPr>
          <w:rFonts w:ascii="Times New Roman" w:eastAsia="Times New Roman" w:hAnsi="Times New Roman"/>
          <w:sz w:val="28"/>
          <w:szCs w:val="28"/>
        </w:rPr>
        <w:t xml:space="preserve">19,3±3,5%, соответственно,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&lt;0,01). Из приведенных данных видно, что самый высокий уровень содержания β</w:t>
      </w:r>
      <w:r w:rsidRPr="00A11646">
        <w:rPr>
          <w:rFonts w:ascii="Times New Roman" w:eastAsia="Times New Roman" w:hAnsi="Times New Roman"/>
          <w:sz w:val="28"/>
          <w:szCs w:val="28"/>
          <w:vertAlign w:val="subscript"/>
          <w:lang w:val="uz-Cyrl-UZ"/>
        </w:rPr>
        <w:t>2</w:t>
      </w:r>
      <w:r w:rsidRPr="00A11646">
        <w:rPr>
          <w:rFonts w:ascii="Times New Roman" w:eastAsia="Times New Roman" w:hAnsi="Times New Roman"/>
          <w:sz w:val="28"/>
          <w:szCs w:val="28"/>
        </w:rPr>
        <w:t xml:space="preserve">- микроглобулина регистрировался при редких вариантах </w:t>
      </w:r>
      <w:r w:rsidRPr="00A11646">
        <w:rPr>
          <w:rFonts w:ascii="Times New Roman" w:eastAsia="Times New Roman" w:hAnsi="Times New Roman"/>
          <w:sz w:val="28"/>
          <w:szCs w:val="28"/>
          <w:lang w:val="en-US"/>
        </w:rPr>
        <w:t>Ig</w:t>
      </w:r>
      <w:r w:rsidRPr="00A11646">
        <w:rPr>
          <w:rFonts w:ascii="Times New Roman" w:eastAsia="Times New Roman" w:hAnsi="Times New Roman"/>
          <w:sz w:val="28"/>
          <w:szCs w:val="28"/>
        </w:rPr>
        <w:t xml:space="preserve"> (табл. 3.2.2.1.).</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eastAsia="Times New Roman" w:hAnsi="Times New Roman"/>
          <w:sz w:val="28"/>
          <w:szCs w:val="28"/>
          <w:lang w:val="uz-Cyrl-UZ"/>
        </w:rPr>
        <w:t xml:space="preserve"> Постадийный анализ уровня </w:t>
      </w:r>
      <w:r w:rsidRPr="00A11646">
        <w:rPr>
          <w:rFonts w:ascii="Times New Roman" w:hAnsi="Times New Roman"/>
          <w:sz w:val="28"/>
          <w:szCs w:val="28"/>
        </w:rPr>
        <w:t>γ – и β</w:t>
      </w:r>
      <w:r w:rsidRPr="00A11646">
        <w:rPr>
          <w:rFonts w:ascii="Times New Roman" w:hAnsi="Times New Roman"/>
          <w:sz w:val="28"/>
          <w:szCs w:val="28"/>
          <w:vertAlign w:val="subscript"/>
        </w:rPr>
        <w:t>2</w:t>
      </w:r>
      <w:r w:rsidRPr="00A11646">
        <w:rPr>
          <w:rFonts w:ascii="Times New Roman" w:hAnsi="Times New Roman"/>
          <w:sz w:val="28"/>
          <w:szCs w:val="28"/>
        </w:rPr>
        <w:t xml:space="preserve">-микроглобулинов в сыворотке крови показал следующее: при </w:t>
      </w:r>
      <w:r w:rsidRPr="00A11646">
        <w:rPr>
          <w:rFonts w:ascii="Times New Roman" w:hAnsi="Times New Roman"/>
          <w:sz w:val="28"/>
          <w:szCs w:val="28"/>
          <w:lang w:val="en-US"/>
        </w:rPr>
        <w:t>II</w:t>
      </w:r>
      <w:r w:rsidRPr="00A11646">
        <w:rPr>
          <w:rFonts w:ascii="Times New Roman" w:hAnsi="Times New Roman"/>
          <w:sz w:val="28"/>
          <w:szCs w:val="28"/>
        </w:rPr>
        <w:t xml:space="preserve">  стадии – </w:t>
      </w:r>
      <w:r w:rsidRPr="00A11646">
        <w:rPr>
          <w:rFonts w:ascii="Times New Roman" w:eastAsia="Times New Roman" w:hAnsi="Times New Roman"/>
          <w:sz w:val="28"/>
          <w:szCs w:val="28"/>
        </w:rPr>
        <w:t xml:space="preserve">17,7+2,7% </w:t>
      </w:r>
      <w:r w:rsidRPr="00A11646">
        <w:rPr>
          <w:rFonts w:ascii="Times New Roman" w:eastAsia="Times New Roman" w:hAnsi="Times New Roman"/>
          <w:sz w:val="28"/>
          <w:szCs w:val="28"/>
          <w:lang w:val="uz-Cyrl-UZ"/>
        </w:rPr>
        <w:t xml:space="preserve">и </w:t>
      </w:r>
      <w:bookmarkStart w:id="142" w:name="_Hlk6080198"/>
      <w:r w:rsidRPr="00A11646">
        <w:rPr>
          <w:rFonts w:ascii="Times New Roman" w:eastAsia="Times New Roman" w:hAnsi="Times New Roman"/>
          <w:sz w:val="28"/>
          <w:szCs w:val="28"/>
        </w:rPr>
        <w:t>16,4+2,05%</w:t>
      </w:r>
      <w:bookmarkEnd w:id="142"/>
      <w:r w:rsidRPr="00A11646">
        <w:rPr>
          <w:rFonts w:ascii="Times New Roman" w:eastAsia="Times New Roman" w:hAnsi="Times New Roman"/>
          <w:sz w:val="28"/>
          <w:szCs w:val="28"/>
          <w:lang w:val="uz-Cyrl-UZ"/>
        </w:rPr>
        <w:t xml:space="preserve">, соответственно; при </w:t>
      </w:r>
      <w:r w:rsidRPr="00A11646">
        <w:rPr>
          <w:rFonts w:ascii="Times New Roman" w:hAnsi="Times New Roman"/>
          <w:sz w:val="28"/>
          <w:szCs w:val="28"/>
          <w:lang w:val="en-US"/>
        </w:rPr>
        <w:t>III</w:t>
      </w:r>
      <w:r w:rsidRPr="00A11646">
        <w:rPr>
          <w:rFonts w:ascii="Times New Roman" w:hAnsi="Times New Roman"/>
          <w:sz w:val="28"/>
          <w:szCs w:val="28"/>
        </w:rPr>
        <w:t xml:space="preserve"> стадии</w:t>
      </w:r>
      <w:r w:rsidRPr="00A11646">
        <w:rPr>
          <w:rFonts w:ascii="Times New Roman" w:eastAsia="Times New Roman" w:hAnsi="Times New Roman"/>
          <w:sz w:val="28"/>
          <w:szCs w:val="28"/>
        </w:rPr>
        <w:t xml:space="preserve"> - 20,5+2,4%  </w:t>
      </w:r>
      <w:r w:rsidRPr="00A11646">
        <w:rPr>
          <w:rFonts w:ascii="Times New Roman" w:eastAsia="Times New Roman" w:hAnsi="Times New Roman"/>
          <w:sz w:val="28"/>
          <w:szCs w:val="28"/>
          <w:lang w:val="uz-Cyrl-UZ"/>
        </w:rPr>
        <w:t xml:space="preserve">и  </w:t>
      </w:r>
      <w:r w:rsidRPr="00A11646">
        <w:rPr>
          <w:rFonts w:ascii="Times New Roman" w:eastAsia="Times New Roman" w:hAnsi="Times New Roman"/>
          <w:sz w:val="28"/>
          <w:szCs w:val="28"/>
        </w:rPr>
        <w:t xml:space="preserve"> 14,9+2,01% %</w:t>
      </w:r>
      <w:r w:rsidRPr="00A11646">
        <w:rPr>
          <w:rFonts w:ascii="Times New Roman" w:eastAsia="Times New Roman" w:hAnsi="Times New Roman"/>
          <w:sz w:val="28"/>
          <w:szCs w:val="28"/>
          <w:lang w:val="uz-Cyrl-UZ"/>
        </w:rPr>
        <w:t xml:space="preserve">,  соответственно. Приведенные данные показывают увеличение уровня  </w:t>
      </w:r>
      <w:r w:rsidRPr="00A11646">
        <w:rPr>
          <w:rFonts w:ascii="Times New Roman" w:hAnsi="Times New Roman"/>
          <w:sz w:val="28"/>
          <w:szCs w:val="28"/>
        </w:rPr>
        <w:t>γ –</w:t>
      </w:r>
      <w:bookmarkStart w:id="143" w:name="_Hlk6080454"/>
      <w:r w:rsidRPr="00A11646">
        <w:rPr>
          <w:rFonts w:ascii="Times New Roman" w:hAnsi="Times New Roman"/>
          <w:sz w:val="28"/>
          <w:szCs w:val="28"/>
        </w:rPr>
        <w:t>микроглобулин</w:t>
      </w:r>
      <w:bookmarkEnd w:id="143"/>
      <w:r w:rsidRPr="00A11646">
        <w:rPr>
          <w:rFonts w:ascii="Times New Roman" w:hAnsi="Times New Roman"/>
          <w:sz w:val="28"/>
          <w:szCs w:val="28"/>
        </w:rPr>
        <w:t xml:space="preserve">а у больных с </w:t>
      </w:r>
      <w:r w:rsidRPr="00A11646">
        <w:rPr>
          <w:rFonts w:ascii="Times New Roman" w:hAnsi="Times New Roman"/>
          <w:sz w:val="28"/>
          <w:szCs w:val="28"/>
          <w:lang w:val="en-US"/>
        </w:rPr>
        <w:t>III</w:t>
      </w:r>
      <w:r w:rsidRPr="00A11646">
        <w:rPr>
          <w:rFonts w:ascii="Times New Roman" w:hAnsi="Times New Roman"/>
          <w:sz w:val="28"/>
          <w:szCs w:val="28"/>
          <w:lang w:val="uz-Cyrl-UZ"/>
        </w:rPr>
        <w:t xml:space="preserve"> стадией, тогда как у пациентов со </w:t>
      </w:r>
      <w:r w:rsidRPr="00A11646">
        <w:rPr>
          <w:rFonts w:ascii="Times New Roman" w:hAnsi="Times New Roman"/>
          <w:sz w:val="28"/>
          <w:szCs w:val="28"/>
          <w:lang w:val="en-US"/>
        </w:rPr>
        <w:t>II</w:t>
      </w:r>
      <w:r w:rsidRPr="00A11646">
        <w:rPr>
          <w:rFonts w:ascii="Times New Roman" w:hAnsi="Times New Roman"/>
          <w:sz w:val="28"/>
          <w:szCs w:val="28"/>
        </w:rPr>
        <w:t xml:space="preserve"> стадией показатель находился в пределах нормы. В отношении же уровня    β</w:t>
      </w:r>
      <w:r w:rsidRPr="00A11646">
        <w:rPr>
          <w:rFonts w:ascii="Times New Roman" w:hAnsi="Times New Roman"/>
          <w:sz w:val="28"/>
          <w:szCs w:val="28"/>
          <w:vertAlign w:val="subscript"/>
        </w:rPr>
        <w:t>2</w:t>
      </w:r>
      <w:r w:rsidRPr="00A11646">
        <w:rPr>
          <w:rFonts w:ascii="Times New Roman" w:hAnsi="Times New Roman"/>
          <w:sz w:val="28"/>
          <w:szCs w:val="28"/>
        </w:rPr>
        <w:t>-микроглобулина отмечено его увеличение при обеих стадиях заболевания.</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Сравнительный анализ уровня </w:t>
      </w:r>
      <w:bookmarkStart w:id="144" w:name="_Hlk6081833"/>
      <w:r w:rsidRPr="00A11646">
        <w:rPr>
          <w:rFonts w:ascii="Times New Roman" w:hAnsi="Times New Roman"/>
          <w:sz w:val="28"/>
          <w:szCs w:val="28"/>
        </w:rPr>
        <w:t xml:space="preserve">γ – и </w:t>
      </w:r>
      <w:bookmarkStart w:id="145" w:name="_Hlk6082057"/>
      <w:r w:rsidRPr="00A11646">
        <w:rPr>
          <w:rFonts w:ascii="Times New Roman" w:hAnsi="Times New Roman"/>
          <w:sz w:val="28"/>
          <w:szCs w:val="28"/>
        </w:rPr>
        <w:t>β</w:t>
      </w:r>
      <w:r w:rsidRPr="00A11646">
        <w:rPr>
          <w:rFonts w:ascii="Times New Roman" w:hAnsi="Times New Roman"/>
          <w:sz w:val="28"/>
          <w:szCs w:val="28"/>
          <w:vertAlign w:val="subscript"/>
        </w:rPr>
        <w:t>2</w:t>
      </w:r>
      <w:r w:rsidRPr="00A11646">
        <w:rPr>
          <w:rFonts w:ascii="Times New Roman" w:hAnsi="Times New Roman"/>
          <w:sz w:val="28"/>
          <w:szCs w:val="28"/>
        </w:rPr>
        <w:t xml:space="preserve">-микроглобулинов </w:t>
      </w:r>
      <w:bookmarkEnd w:id="144"/>
      <w:bookmarkEnd w:id="145"/>
      <w:r w:rsidRPr="00A11646">
        <w:rPr>
          <w:rFonts w:ascii="Times New Roman" w:hAnsi="Times New Roman"/>
          <w:sz w:val="28"/>
          <w:szCs w:val="28"/>
        </w:rPr>
        <w:t>в сыворотке крови при А и В стадиях показал, что уровень  γ –  микроглобулина в В</w:t>
      </w:r>
      <w:r w:rsidRPr="00A11646">
        <w:rPr>
          <w:rFonts w:ascii="Times New Roman" w:eastAsia="Times New Roman" w:hAnsi="Times New Roman"/>
          <w:sz w:val="28"/>
          <w:szCs w:val="28"/>
          <w:lang w:val="uz-Cyrl-UZ"/>
        </w:rPr>
        <w:t>(</w:t>
      </w:r>
      <w:r w:rsidRPr="00A11646">
        <w:rPr>
          <w:rFonts w:ascii="Times New Roman" w:eastAsia="Times New Roman" w:hAnsi="Times New Roman"/>
          <w:sz w:val="28"/>
          <w:szCs w:val="28"/>
        </w:rPr>
        <w:t>20,8+2,4%</w:t>
      </w:r>
      <w:r w:rsidRPr="00A11646">
        <w:rPr>
          <w:rFonts w:ascii="Times New Roman" w:hAnsi="Times New Roman"/>
          <w:sz w:val="28"/>
          <w:szCs w:val="28"/>
        </w:rPr>
        <w:t>) стадии превышал таковой в  А (</w:t>
      </w:r>
      <w:r w:rsidRPr="00A11646">
        <w:rPr>
          <w:rFonts w:ascii="Times New Roman" w:eastAsia="Times New Roman" w:hAnsi="Times New Roman"/>
          <w:sz w:val="28"/>
          <w:szCs w:val="28"/>
        </w:rPr>
        <w:t>19,4+2,5%</w:t>
      </w:r>
      <w:r w:rsidRPr="00A11646">
        <w:rPr>
          <w:rFonts w:ascii="Times New Roman" w:eastAsia="Times New Roman" w:hAnsi="Times New Roman"/>
          <w:sz w:val="28"/>
          <w:szCs w:val="28"/>
          <w:lang w:val="uz-Cyrl-UZ"/>
        </w:rPr>
        <w:t xml:space="preserve">) </w:t>
      </w:r>
      <w:r w:rsidRPr="00A11646">
        <w:rPr>
          <w:rFonts w:ascii="Times New Roman" w:hAnsi="Times New Roman"/>
          <w:sz w:val="28"/>
          <w:szCs w:val="28"/>
        </w:rPr>
        <w:t>стадии в 1,07 раз, а уровень β</w:t>
      </w:r>
      <w:r w:rsidRPr="00A11646">
        <w:rPr>
          <w:rFonts w:ascii="Times New Roman" w:hAnsi="Times New Roman"/>
          <w:sz w:val="28"/>
          <w:szCs w:val="28"/>
          <w:vertAlign w:val="subscript"/>
        </w:rPr>
        <w:t>2</w:t>
      </w:r>
      <w:r w:rsidRPr="00A11646">
        <w:rPr>
          <w:rFonts w:ascii="Times New Roman" w:hAnsi="Times New Roman"/>
          <w:sz w:val="28"/>
          <w:szCs w:val="28"/>
        </w:rPr>
        <w:t>-микроглобулина в А (</w:t>
      </w:r>
      <w:r w:rsidRPr="00A11646">
        <w:rPr>
          <w:rFonts w:ascii="Times New Roman" w:eastAsia="Times New Roman" w:hAnsi="Times New Roman"/>
          <w:sz w:val="28"/>
          <w:szCs w:val="28"/>
        </w:rPr>
        <w:t>16,8+2,4%</w:t>
      </w:r>
      <w:r w:rsidRPr="00A11646">
        <w:rPr>
          <w:rFonts w:ascii="Times New Roman" w:eastAsia="Times New Roman" w:hAnsi="Times New Roman"/>
          <w:sz w:val="28"/>
          <w:szCs w:val="28"/>
          <w:lang w:val="uz-Cyrl-UZ"/>
        </w:rPr>
        <w:t xml:space="preserve">)  </w:t>
      </w:r>
      <w:r w:rsidRPr="00A11646">
        <w:rPr>
          <w:rFonts w:ascii="Times New Roman" w:hAnsi="Times New Roman"/>
          <w:sz w:val="28"/>
          <w:szCs w:val="28"/>
        </w:rPr>
        <w:t>стадии наоборот превышал таковой в В</w:t>
      </w:r>
      <w:r w:rsidRPr="00A11646">
        <w:rPr>
          <w:rFonts w:ascii="Times New Roman" w:eastAsia="Times New Roman" w:hAnsi="Times New Roman"/>
          <w:sz w:val="28"/>
          <w:szCs w:val="28"/>
          <w:lang w:val="uz-Cyrl-UZ"/>
        </w:rPr>
        <w:t>(</w:t>
      </w:r>
      <w:r w:rsidRPr="00A11646">
        <w:rPr>
          <w:rFonts w:ascii="Times New Roman" w:eastAsia="Times New Roman" w:hAnsi="Times New Roman"/>
          <w:sz w:val="28"/>
          <w:szCs w:val="28"/>
        </w:rPr>
        <w:t>13,6+1,6%</w:t>
      </w:r>
      <w:r w:rsidRPr="00A11646">
        <w:rPr>
          <w:rFonts w:ascii="Times New Roman" w:eastAsia="Times New Roman" w:hAnsi="Times New Roman"/>
          <w:sz w:val="28"/>
          <w:szCs w:val="28"/>
          <w:lang w:val="uz-Cyrl-UZ"/>
        </w:rPr>
        <w:t xml:space="preserve">) </w:t>
      </w:r>
      <w:r w:rsidRPr="00A11646">
        <w:rPr>
          <w:rFonts w:ascii="Times New Roman" w:hAnsi="Times New Roman"/>
          <w:sz w:val="28"/>
          <w:szCs w:val="28"/>
        </w:rPr>
        <w:t>стадии в 1,2 раза (рис. 3.2.2.2.).</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noProof/>
          <w:sz w:val="28"/>
          <w:szCs w:val="28"/>
        </w:rPr>
        <w:lastRenderedPageBreak/>
        <w:drawing>
          <wp:inline distT="0" distB="0" distL="0" distR="0">
            <wp:extent cx="54864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b/>
          <w:sz w:val="28"/>
          <w:szCs w:val="28"/>
        </w:rPr>
      </w:pPr>
      <w:r w:rsidRPr="00A11646">
        <w:rPr>
          <w:rFonts w:ascii="Times New Roman" w:eastAsia="Times New Roman" w:hAnsi="Times New Roman"/>
          <w:b/>
          <w:sz w:val="28"/>
          <w:szCs w:val="28"/>
        </w:rPr>
        <w:t xml:space="preserve">Рис. 3.2.2.2. Сравнительный анализ уровня </w:t>
      </w:r>
      <w:r w:rsidRPr="00A11646">
        <w:rPr>
          <w:rFonts w:ascii="Times New Roman" w:hAnsi="Times New Roman"/>
          <w:b/>
          <w:sz w:val="28"/>
          <w:szCs w:val="28"/>
        </w:rPr>
        <w:t>γ – и β</w:t>
      </w:r>
      <w:r w:rsidRPr="00A11646">
        <w:rPr>
          <w:rFonts w:ascii="Times New Roman" w:hAnsi="Times New Roman"/>
          <w:b/>
          <w:sz w:val="28"/>
          <w:szCs w:val="28"/>
          <w:vertAlign w:val="subscript"/>
        </w:rPr>
        <w:t>2</w:t>
      </w:r>
      <w:r w:rsidRPr="00A11646">
        <w:rPr>
          <w:rFonts w:ascii="Times New Roman" w:hAnsi="Times New Roman"/>
          <w:b/>
          <w:sz w:val="28"/>
          <w:szCs w:val="28"/>
        </w:rPr>
        <w:t>-микроглобулинов в сыворотке крови</w:t>
      </w:r>
      <w:r w:rsidRPr="00A11646">
        <w:rPr>
          <w:rFonts w:ascii="Times New Roman" w:eastAsia="Times New Roman" w:hAnsi="Times New Roman"/>
          <w:b/>
          <w:sz w:val="28"/>
          <w:szCs w:val="28"/>
        </w:rPr>
        <w:t>в зависимости от стадии ММ.</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eastAsia="Times New Roman" w:hAnsi="Times New Roman"/>
          <w:sz w:val="28"/>
          <w:szCs w:val="28"/>
        </w:rPr>
        <w:t xml:space="preserve">Повышенные уровни </w:t>
      </w:r>
      <w:r w:rsidRPr="00A11646">
        <w:rPr>
          <w:rFonts w:ascii="Times New Roman" w:hAnsi="Times New Roman"/>
          <w:sz w:val="28"/>
          <w:szCs w:val="28"/>
        </w:rPr>
        <w:t>γ – и β</w:t>
      </w:r>
      <w:r w:rsidRPr="00A11646">
        <w:rPr>
          <w:rFonts w:ascii="Times New Roman" w:hAnsi="Times New Roman"/>
          <w:sz w:val="28"/>
          <w:szCs w:val="28"/>
          <w:vertAlign w:val="subscript"/>
        </w:rPr>
        <w:t>2</w:t>
      </w:r>
      <w:r w:rsidRPr="00A11646">
        <w:rPr>
          <w:rFonts w:ascii="Times New Roman" w:hAnsi="Times New Roman"/>
          <w:sz w:val="28"/>
          <w:szCs w:val="28"/>
        </w:rPr>
        <w:t>-микроглобулинов в сыворотке крови у больных ММ являются критерием плохого прогноза заболевания, маркерами повышения опухолевых клеток и нарушения функции почек. В связи с этим изучение уровня микроглобулинов представляют диагностическую и прогностическую ценность у больных ММ, что подтверждается и литературными данными, в которых подчеркивается ценность определения этих показателей в диагностировании стадий ММ [</w:t>
      </w:r>
      <w:r w:rsidRPr="00A11646">
        <w:rPr>
          <w:rFonts w:ascii="Times New Roman" w:eastAsia="Calibri" w:hAnsi="Times New Roman"/>
          <w:sz w:val="28"/>
          <w:szCs w:val="28"/>
        </w:rPr>
        <w:t>68, с. 215-224; 69, с. 2031-2033</w:t>
      </w:r>
      <w:r w:rsidRPr="00A11646">
        <w:rPr>
          <w:rFonts w:ascii="Times New Roman" w:hAnsi="Times New Roman"/>
          <w:sz w:val="28"/>
          <w:szCs w:val="28"/>
        </w:rPr>
        <w:t>].</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 Наряду с вышеприведенными показателями в</w:t>
      </w:r>
      <w:r w:rsidRPr="00A11646">
        <w:rPr>
          <w:rFonts w:ascii="Times New Roman" w:eastAsia="Times New Roman" w:hAnsi="Times New Roman"/>
          <w:sz w:val="28"/>
          <w:szCs w:val="28"/>
          <w:lang w:val="uz-Cyrl-UZ"/>
        </w:rPr>
        <w:t>ажными в прогнозировании ММ являются оценка уровня креатинина, остаточного азота и мочевины (табл.3.2.2.2.).</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Практически у всех обследованных больных ММ в крови выявлен повышенный уровень креатинина, что является проявлением нарушения почечной функции. В зависимости от  значения креатинина среди больных определены стадии ХПН: </w:t>
      </w:r>
      <w:r w:rsidRPr="00A11646">
        <w:rPr>
          <w:rFonts w:ascii="Times New Roman" w:hAnsi="Times New Roman"/>
          <w:sz w:val="28"/>
          <w:szCs w:val="28"/>
          <w:lang w:val="en-US"/>
        </w:rPr>
        <w:t>I</w:t>
      </w:r>
      <w:r w:rsidRPr="00A11646">
        <w:rPr>
          <w:rFonts w:ascii="Times New Roman" w:hAnsi="Times New Roman"/>
          <w:sz w:val="28"/>
          <w:szCs w:val="28"/>
        </w:rPr>
        <w:t xml:space="preserve"> -  степень  (креатинин &lt;104 мкмоль/л) определена у 80 (64,5%), </w:t>
      </w:r>
      <w:r w:rsidRPr="00A11646">
        <w:rPr>
          <w:rFonts w:ascii="Times New Roman" w:hAnsi="Times New Roman"/>
          <w:sz w:val="28"/>
          <w:szCs w:val="28"/>
          <w:lang w:val="en-US"/>
        </w:rPr>
        <w:t>II</w:t>
      </w:r>
      <w:r w:rsidRPr="00A11646">
        <w:rPr>
          <w:rFonts w:ascii="Times New Roman" w:hAnsi="Times New Roman"/>
          <w:sz w:val="28"/>
          <w:szCs w:val="28"/>
        </w:rPr>
        <w:t xml:space="preserve"> – степень (креатинин от 105 до 176 мкмоль/л) у 29 (23,4%), </w:t>
      </w:r>
      <w:r w:rsidRPr="00A11646">
        <w:rPr>
          <w:rFonts w:ascii="Times New Roman" w:hAnsi="Times New Roman"/>
          <w:sz w:val="28"/>
          <w:szCs w:val="28"/>
          <w:lang w:val="en-US"/>
        </w:rPr>
        <w:t>III</w:t>
      </w:r>
      <w:r w:rsidRPr="00A11646">
        <w:rPr>
          <w:rFonts w:ascii="Times New Roman" w:hAnsi="Times New Roman"/>
          <w:sz w:val="28"/>
          <w:szCs w:val="28"/>
        </w:rPr>
        <w:t xml:space="preserve"> -  степень (креатинин от 177-351 мкмоль/л) у 14 (11,3%), </w:t>
      </w:r>
      <w:r w:rsidRPr="00A11646">
        <w:rPr>
          <w:rFonts w:ascii="Times New Roman" w:hAnsi="Times New Roman"/>
          <w:sz w:val="28"/>
          <w:szCs w:val="28"/>
          <w:lang w:val="en-US"/>
        </w:rPr>
        <w:t>IV</w:t>
      </w:r>
      <w:r w:rsidRPr="00A11646">
        <w:rPr>
          <w:rFonts w:ascii="Times New Roman" w:hAnsi="Times New Roman"/>
          <w:sz w:val="28"/>
          <w:szCs w:val="28"/>
        </w:rPr>
        <w:t xml:space="preserve">– степень (креатинин от 352 до 440 мкмоль/л) у 1 (0,8%) и </w:t>
      </w:r>
      <w:r w:rsidRPr="00A11646">
        <w:rPr>
          <w:rFonts w:ascii="Times New Roman" w:hAnsi="Times New Roman"/>
          <w:sz w:val="28"/>
          <w:szCs w:val="28"/>
          <w:lang w:val="en-US"/>
        </w:rPr>
        <w:t>V</w:t>
      </w:r>
      <w:r w:rsidRPr="00A11646">
        <w:rPr>
          <w:rFonts w:ascii="Times New Roman" w:hAnsi="Times New Roman"/>
          <w:sz w:val="28"/>
          <w:szCs w:val="28"/>
        </w:rPr>
        <w:t xml:space="preserve"> – степень </w:t>
      </w:r>
      <w:r w:rsidRPr="00A11646">
        <w:rPr>
          <w:rFonts w:ascii="Times New Roman" w:hAnsi="Times New Roman"/>
          <w:sz w:val="28"/>
          <w:szCs w:val="28"/>
        </w:rPr>
        <w:lastRenderedPageBreak/>
        <w:t>(креатинин &gt;440 мкмоль/л) у 1 (0,8%)  больных. Выявленный повышенный уровень креатинина сыворотки крови более 177 мкмоль/л у 12,9% больных (</w:t>
      </w:r>
      <w:r w:rsidRPr="00A11646">
        <w:rPr>
          <w:rFonts w:ascii="Times New Roman" w:hAnsi="Times New Roman"/>
          <w:sz w:val="28"/>
          <w:szCs w:val="28"/>
          <w:lang w:val="en-US"/>
        </w:rPr>
        <w:t>III</w:t>
      </w:r>
      <w:r w:rsidRPr="00A11646">
        <w:rPr>
          <w:rFonts w:ascii="Times New Roman" w:hAnsi="Times New Roman"/>
          <w:sz w:val="28"/>
          <w:szCs w:val="28"/>
        </w:rPr>
        <w:t xml:space="preserve">, </w:t>
      </w:r>
      <w:r w:rsidRPr="00A11646">
        <w:rPr>
          <w:rFonts w:ascii="Times New Roman" w:hAnsi="Times New Roman"/>
          <w:sz w:val="28"/>
          <w:szCs w:val="28"/>
          <w:lang w:val="en-US"/>
        </w:rPr>
        <w:t>IV</w:t>
      </w:r>
      <w:r w:rsidRPr="00A11646">
        <w:rPr>
          <w:rFonts w:ascii="Times New Roman" w:hAnsi="Times New Roman"/>
          <w:sz w:val="28"/>
          <w:szCs w:val="28"/>
          <w:lang w:val="uz-Cyrl-UZ"/>
        </w:rPr>
        <w:t xml:space="preserve"> и</w:t>
      </w:r>
      <w:r w:rsidRPr="00A11646">
        <w:rPr>
          <w:rFonts w:ascii="Times New Roman" w:hAnsi="Times New Roman"/>
          <w:sz w:val="28"/>
          <w:szCs w:val="28"/>
          <w:lang w:val="en-US"/>
        </w:rPr>
        <w:t>V</w:t>
      </w:r>
      <w:r w:rsidRPr="00A11646">
        <w:rPr>
          <w:rFonts w:ascii="Times New Roman" w:hAnsi="Times New Roman"/>
          <w:sz w:val="28"/>
          <w:szCs w:val="28"/>
        </w:rPr>
        <w:t xml:space="preserve"> степень) определяют неблагоприятное течение заболевания.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bookmarkStart w:id="146" w:name="_Hlk6091465"/>
      <w:r w:rsidRPr="00A11646">
        <w:rPr>
          <w:rFonts w:ascii="Times New Roman" w:hAnsi="Times New Roman"/>
          <w:sz w:val="28"/>
          <w:szCs w:val="28"/>
        </w:rPr>
        <w:t xml:space="preserve">Сравнительная оценка уровня креатинина в зависимости от иммунохимического варианта ММ показало наибольшее его повышение у больных редкими типами </w:t>
      </w:r>
      <w:r w:rsidRPr="00A11646">
        <w:rPr>
          <w:rFonts w:ascii="Times New Roman" w:hAnsi="Times New Roman"/>
          <w:sz w:val="28"/>
          <w:szCs w:val="28"/>
          <w:lang w:val="en-US"/>
        </w:rPr>
        <w:t>Ig</w:t>
      </w:r>
      <w:bookmarkStart w:id="147" w:name="_Hlk6088877"/>
      <w:r w:rsidRPr="00A11646">
        <w:rPr>
          <w:rFonts w:ascii="Times New Roman" w:hAnsi="Times New Roman"/>
          <w:sz w:val="28"/>
          <w:szCs w:val="28"/>
        </w:rPr>
        <w:t>(</w:t>
      </w:r>
      <w:r w:rsidRPr="00A11646">
        <w:rPr>
          <w:rFonts w:ascii="Times New Roman" w:eastAsia="Times New Roman" w:hAnsi="Times New Roman"/>
          <w:sz w:val="28"/>
          <w:szCs w:val="28"/>
        </w:rPr>
        <w:t xml:space="preserve">164,6±41,3;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&lt;0,05</w:t>
      </w:r>
      <w:r w:rsidRPr="00A11646">
        <w:rPr>
          <w:rFonts w:ascii="Times New Roman" w:eastAsia="Times New Roman" w:hAnsi="Times New Roman"/>
          <w:sz w:val="28"/>
          <w:szCs w:val="28"/>
          <w:lang w:val="uz-Cyrl-UZ"/>
        </w:rPr>
        <w:t>)</w:t>
      </w:r>
      <w:bookmarkEnd w:id="147"/>
      <w:r w:rsidRPr="00A11646">
        <w:rPr>
          <w:rFonts w:ascii="Times New Roman" w:hAnsi="Times New Roman"/>
          <w:sz w:val="28"/>
          <w:szCs w:val="28"/>
        </w:rPr>
        <w:t xml:space="preserve">и </w:t>
      </w:r>
      <w:bookmarkStart w:id="148" w:name="_Hlk6088960"/>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λ </w:t>
      </w:r>
      <w:r w:rsidRPr="00A11646">
        <w:rPr>
          <w:rFonts w:ascii="Times New Roman" w:hAnsi="Times New Roman"/>
          <w:sz w:val="28"/>
          <w:szCs w:val="28"/>
        </w:rPr>
        <w:t>(</w:t>
      </w:r>
      <w:r w:rsidRPr="00A11646">
        <w:rPr>
          <w:rFonts w:ascii="Times New Roman" w:eastAsia="Times New Roman" w:hAnsi="Times New Roman"/>
          <w:sz w:val="28"/>
          <w:szCs w:val="28"/>
        </w:rPr>
        <w:t xml:space="preserve">148,7+35,0;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&lt;0,05</w:t>
      </w:r>
      <w:r w:rsidRPr="00A11646">
        <w:rPr>
          <w:rFonts w:ascii="Times New Roman" w:eastAsia="Times New Roman" w:hAnsi="Times New Roman"/>
          <w:sz w:val="28"/>
          <w:szCs w:val="28"/>
          <w:lang w:val="uz-Cyrl-UZ"/>
        </w:rPr>
        <w:t>)</w:t>
      </w:r>
      <w:bookmarkEnd w:id="148"/>
      <w:r w:rsidRPr="00A11646">
        <w:rPr>
          <w:rFonts w:ascii="Times New Roman" w:eastAsia="Times New Roman" w:hAnsi="Times New Roman"/>
          <w:sz w:val="28"/>
          <w:szCs w:val="28"/>
          <w:lang w:val="uz-Cyrl-UZ"/>
        </w:rPr>
        <w:t>, а н</w:t>
      </w:r>
      <w:r w:rsidR="003C7FFA">
        <w:rPr>
          <w:rFonts w:ascii="Times New Roman" w:eastAsia="Times New Roman" w:hAnsi="Times New Roman"/>
          <w:sz w:val="28"/>
          <w:szCs w:val="28"/>
          <w:lang w:val="uz-Cyrl-UZ"/>
        </w:rPr>
        <w:t>а</w:t>
      </w:r>
      <w:r w:rsidRPr="00A11646">
        <w:rPr>
          <w:rFonts w:ascii="Times New Roman" w:eastAsia="Times New Roman" w:hAnsi="Times New Roman"/>
          <w:sz w:val="28"/>
          <w:szCs w:val="28"/>
          <w:lang w:val="uz-Cyrl-UZ"/>
        </w:rPr>
        <w:t xml:space="preserve">именьшее значение определялось при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 κ </w:t>
      </w:r>
      <w:r w:rsidRPr="00A11646">
        <w:rPr>
          <w:rFonts w:ascii="Times New Roman" w:hAnsi="Times New Roman"/>
          <w:sz w:val="28"/>
          <w:szCs w:val="28"/>
        </w:rPr>
        <w:t>(</w:t>
      </w:r>
      <w:r w:rsidRPr="00A11646">
        <w:rPr>
          <w:rFonts w:ascii="Times New Roman" w:eastAsia="Times New Roman" w:hAnsi="Times New Roman"/>
          <w:sz w:val="28"/>
          <w:szCs w:val="28"/>
        </w:rPr>
        <w:t xml:space="preserve">98,6+4,8;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&lt;0,001</w:t>
      </w:r>
      <w:r w:rsidRPr="00A11646">
        <w:rPr>
          <w:rFonts w:ascii="Times New Roman" w:eastAsia="Times New Roman" w:hAnsi="Times New Roman"/>
          <w:sz w:val="28"/>
          <w:szCs w:val="28"/>
          <w:lang w:val="uz-Cyrl-UZ"/>
        </w:rPr>
        <w:t>) (табл. 3.2.2.2.).</w:t>
      </w:r>
    </w:p>
    <w:bookmarkEnd w:id="146"/>
    <w:p w:rsidR="00C328C9" w:rsidRPr="00A11646" w:rsidRDefault="00C328C9" w:rsidP="00C328C9">
      <w:pPr>
        <w:autoSpaceDE w:val="0"/>
        <w:autoSpaceDN w:val="0"/>
        <w:adjustRightInd w:val="0"/>
        <w:spacing w:after="0" w:line="360" w:lineRule="auto"/>
        <w:ind w:firstLine="708"/>
        <w:jc w:val="right"/>
        <w:rPr>
          <w:rFonts w:ascii="Times New Roman" w:eastAsia="Times New Roman" w:hAnsi="Times New Roman"/>
          <w:b/>
          <w:sz w:val="28"/>
          <w:szCs w:val="28"/>
          <w:lang w:val="uz-Cyrl-UZ"/>
        </w:rPr>
      </w:pPr>
      <w:r w:rsidRPr="00A11646">
        <w:rPr>
          <w:rFonts w:ascii="Times New Roman" w:eastAsia="Times New Roman" w:hAnsi="Times New Roman"/>
          <w:b/>
          <w:sz w:val="28"/>
          <w:szCs w:val="28"/>
          <w:lang w:val="uz-Cyrl-UZ"/>
        </w:rPr>
        <w:t>Таблица 3.2.2.2.</w:t>
      </w:r>
    </w:p>
    <w:p w:rsidR="00C328C9" w:rsidRPr="00A11646" w:rsidRDefault="00C328C9" w:rsidP="00C328C9">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 xml:space="preserve">Показатели биохимического анализа крови у больных ММ </w:t>
      </w:r>
    </w:p>
    <w:p w:rsidR="00C328C9" w:rsidRPr="00A11646" w:rsidRDefault="00C328C9" w:rsidP="00C328C9">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
          <w:sz w:val="28"/>
          <w:szCs w:val="28"/>
        </w:rPr>
        <w:t>в зависимости от иммунохимического варианта</w:t>
      </w:r>
    </w:p>
    <w:tbl>
      <w:tblPr>
        <w:tblStyle w:val="2"/>
        <w:tblW w:w="9227" w:type="dxa"/>
        <w:tblLook w:val="04A0"/>
      </w:tblPr>
      <w:tblGrid>
        <w:gridCol w:w="870"/>
        <w:gridCol w:w="1488"/>
        <w:gridCol w:w="2104"/>
        <w:gridCol w:w="2247"/>
        <w:gridCol w:w="2518"/>
      </w:tblGrid>
      <w:tr w:rsidR="00A11646" w:rsidRPr="00A11646" w:rsidTr="00C328C9">
        <w:trPr>
          <w:trHeight w:val="509"/>
        </w:trPr>
        <w:tc>
          <w:tcPr>
            <w:tcW w:w="235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Мочевина, ммоль/л</w:t>
            </w:r>
          </w:p>
        </w:tc>
        <w:tc>
          <w:tcPr>
            <w:tcW w:w="2247"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Остаточный азот, ммоль/л</w:t>
            </w:r>
          </w:p>
        </w:t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Креатинин, ммоль/л</w:t>
            </w:r>
          </w:p>
        </w:tc>
      </w:tr>
      <w:tr w:rsidR="00A11646" w:rsidRPr="00A11646" w:rsidTr="00C328C9">
        <w:trPr>
          <w:trHeight w:val="5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rPr>
                <w:rFonts w:ascii="Times New Roman" w:eastAsia="Times New Roman" w:hAnsi="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rPr>
                <w:rFonts w:ascii="Times New Roman" w:eastAsia="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rPr>
                <w:rFonts w:ascii="Times New Roman" w:eastAsia="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rPr>
                <w:rFonts w:ascii="Times New Roman" w:eastAsia="Times New Roman" w:hAnsi="Times New Roman"/>
                <w:sz w:val="28"/>
                <w:szCs w:val="28"/>
              </w:rPr>
            </w:pPr>
          </w:p>
        </w:tc>
      </w:tr>
      <w:tr w:rsidR="00A11646" w:rsidRPr="00A11646" w:rsidTr="00C328C9">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1488"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104"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9,1±0,49***</w:t>
            </w:r>
          </w:p>
        </w:tc>
        <w:tc>
          <w:tcPr>
            <w:tcW w:w="2247"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4,5±0,27*</w:t>
            </w:r>
          </w:p>
        </w:tc>
        <w:tc>
          <w:tcPr>
            <w:tcW w:w="2518"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bookmarkStart w:id="149" w:name="_Hlk6087568"/>
            <w:r w:rsidRPr="00A11646">
              <w:rPr>
                <w:rFonts w:ascii="Times New Roman" w:eastAsia="Times New Roman" w:hAnsi="Times New Roman"/>
                <w:sz w:val="28"/>
                <w:szCs w:val="28"/>
              </w:rPr>
              <w:t>98,6+4,8</w:t>
            </w:r>
            <w:bookmarkEnd w:id="149"/>
            <w:r w:rsidRPr="00A11646">
              <w:rPr>
                <w:rFonts w:ascii="Times New Roman" w:eastAsia="Times New Roman" w:hAnsi="Times New Roman"/>
                <w:sz w:val="28"/>
                <w:szCs w:val="28"/>
              </w:rPr>
              <w:t>***</w:t>
            </w:r>
          </w:p>
        </w:tc>
      </w:tr>
      <w:tr w:rsidR="00A11646" w:rsidRPr="00A11646" w:rsidTr="00C328C9">
        <w:tc>
          <w:tcPr>
            <w:tcW w:w="0" w:type="auto"/>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rPr>
                <w:rFonts w:ascii="Times New Roman" w:eastAsia="Times New Roman" w:hAnsi="Times New Roman"/>
                <w:sz w:val="28"/>
                <w:szCs w:val="28"/>
                <w:lang w:val="en-US"/>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bookmarkStart w:id="150" w:name="_Hlk6088799"/>
            <w:r w:rsidRPr="00A11646">
              <w:rPr>
                <w:rFonts w:ascii="Times New Roman" w:eastAsia="Times New Roman" w:hAnsi="Times New Roman"/>
                <w:sz w:val="28"/>
                <w:szCs w:val="28"/>
              </w:rPr>
              <w:t>λ</w:t>
            </w:r>
            <w:bookmarkEnd w:id="150"/>
          </w:p>
        </w:tc>
        <w:tc>
          <w:tcPr>
            <w:tcW w:w="2104"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12,6±1,6***</w:t>
            </w:r>
          </w:p>
        </w:tc>
        <w:tc>
          <w:tcPr>
            <w:tcW w:w="2247"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5,7±0,7</w:t>
            </w:r>
          </w:p>
        </w:tc>
        <w:tc>
          <w:tcPr>
            <w:tcW w:w="2518"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bookmarkStart w:id="151" w:name="_Hlk6088897"/>
            <w:r w:rsidRPr="00A11646">
              <w:rPr>
                <w:rFonts w:ascii="Times New Roman" w:eastAsia="Times New Roman" w:hAnsi="Times New Roman"/>
                <w:sz w:val="28"/>
                <w:szCs w:val="28"/>
              </w:rPr>
              <w:t>148,7+35,0</w:t>
            </w:r>
            <w:bookmarkEnd w:id="151"/>
            <w:r w:rsidRPr="00A11646">
              <w:rPr>
                <w:rFonts w:ascii="Times New Roman" w:eastAsia="Times New Roman" w:hAnsi="Times New Roman"/>
                <w:sz w:val="28"/>
                <w:szCs w:val="28"/>
              </w:rPr>
              <w:t>*</w:t>
            </w:r>
          </w:p>
        </w:tc>
      </w:tr>
      <w:tr w:rsidR="00A11646" w:rsidRPr="00A11646" w:rsidTr="00C328C9">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104"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9,6±0,85</w:t>
            </w:r>
          </w:p>
        </w:tc>
        <w:tc>
          <w:tcPr>
            <w:tcW w:w="2247"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3,7±0,29</w:t>
            </w:r>
            <w:r w:rsidRPr="00A11646">
              <w:rPr>
                <w:rFonts w:ascii="Times New Roman" w:eastAsia="Times New Roman" w:hAnsi="Times New Roman"/>
                <w:sz w:val="28"/>
                <w:szCs w:val="28"/>
                <w:lang w:val="en-US"/>
              </w:rPr>
              <w:t>*</w:t>
            </w:r>
            <w:r w:rsidRPr="00A11646">
              <w:rPr>
                <w:rFonts w:ascii="Times New Roman" w:eastAsia="Times New Roman" w:hAnsi="Times New Roman"/>
                <w:sz w:val="28"/>
                <w:szCs w:val="28"/>
              </w:rPr>
              <w:t>**</w:t>
            </w:r>
          </w:p>
        </w:tc>
        <w:tc>
          <w:tcPr>
            <w:tcW w:w="2518"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119+18,6*</w:t>
            </w:r>
          </w:p>
        </w:tc>
      </w:tr>
      <w:tr w:rsidR="00A11646" w:rsidRPr="00A11646" w:rsidTr="00C328C9">
        <w:tc>
          <w:tcPr>
            <w:tcW w:w="0" w:type="auto"/>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rPr>
                <w:rFonts w:ascii="Times New Roman" w:eastAsia="Times New Roman" w:hAnsi="Times New Roman"/>
                <w:sz w:val="28"/>
                <w:szCs w:val="28"/>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104"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10,5±2,0</w:t>
            </w:r>
          </w:p>
        </w:tc>
        <w:tc>
          <w:tcPr>
            <w:tcW w:w="2247"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5,1</w:t>
            </w:r>
            <w:bookmarkStart w:id="152" w:name="_Hlk6089414"/>
            <w:r w:rsidRPr="00A11646">
              <w:rPr>
                <w:rFonts w:ascii="Times New Roman" w:eastAsia="Times New Roman" w:hAnsi="Times New Roman"/>
                <w:sz w:val="28"/>
                <w:szCs w:val="28"/>
              </w:rPr>
              <w:t>±</w:t>
            </w:r>
            <w:bookmarkEnd w:id="152"/>
            <w:r w:rsidRPr="00A11646">
              <w:rPr>
                <w:rFonts w:ascii="Times New Roman" w:eastAsia="Times New Roman" w:hAnsi="Times New Roman"/>
                <w:sz w:val="28"/>
                <w:szCs w:val="28"/>
              </w:rPr>
              <w:t>1,0*</w:t>
            </w:r>
          </w:p>
        </w:tc>
        <w:tc>
          <w:tcPr>
            <w:tcW w:w="2518"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116,6+12,7***</w:t>
            </w:r>
          </w:p>
        </w:tc>
      </w:tr>
      <w:tr w:rsidR="00C328C9" w:rsidRPr="00A11646" w:rsidTr="00C328C9">
        <w:tc>
          <w:tcPr>
            <w:tcW w:w="2358" w:type="dxa"/>
            <w:gridSpan w:val="2"/>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2104"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9,6+1,1**</w:t>
            </w:r>
          </w:p>
        </w:tc>
        <w:tc>
          <w:tcPr>
            <w:tcW w:w="2247"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4,4±0,50**</w:t>
            </w:r>
          </w:p>
        </w:tc>
        <w:tc>
          <w:tcPr>
            <w:tcW w:w="2518" w:type="dxa"/>
            <w:tcBorders>
              <w:top w:val="single" w:sz="4" w:space="0" w:color="auto"/>
              <w:left w:val="nil"/>
              <w:bottom w:val="single" w:sz="4" w:space="0" w:color="auto"/>
              <w:right w:val="single" w:sz="4" w:space="0" w:color="auto"/>
            </w:tcBorders>
            <w:vAlign w:val="center"/>
            <w:hideMark/>
          </w:tcPr>
          <w:p w:rsidR="00C328C9" w:rsidRPr="00A11646" w:rsidRDefault="00C328C9" w:rsidP="00C328C9">
            <w:pPr>
              <w:spacing w:line="360" w:lineRule="auto"/>
              <w:jc w:val="center"/>
              <w:rPr>
                <w:rFonts w:ascii="Times New Roman" w:eastAsia="Times New Roman" w:hAnsi="Times New Roman"/>
                <w:sz w:val="28"/>
                <w:szCs w:val="28"/>
                <w:lang w:val="uz-Cyrl-UZ"/>
              </w:rPr>
            </w:pPr>
            <w:bookmarkStart w:id="153" w:name="_Hlk6088820"/>
            <w:r w:rsidRPr="00A11646">
              <w:rPr>
                <w:rFonts w:ascii="Times New Roman" w:eastAsia="Times New Roman" w:hAnsi="Times New Roman"/>
                <w:sz w:val="28"/>
                <w:szCs w:val="28"/>
              </w:rPr>
              <w:t>164,6±41,3</w:t>
            </w:r>
            <w:bookmarkEnd w:id="153"/>
            <w:r w:rsidRPr="00A11646">
              <w:rPr>
                <w:rFonts w:ascii="Times New Roman" w:eastAsia="Times New Roman" w:hAnsi="Times New Roman"/>
                <w:sz w:val="28"/>
                <w:szCs w:val="28"/>
              </w:rPr>
              <w:t>*</w:t>
            </w:r>
          </w:p>
        </w:tc>
      </w:tr>
    </w:tbl>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rPr>
        <w:t>*- достоверно по сравнению с показателями в контроле (*-P&lt;0,05; **-P&lt;0,01; ***-P&lt;0,001).</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bookmarkStart w:id="154" w:name="_Hlk6091475"/>
      <w:r w:rsidRPr="00A11646">
        <w:rPr>
          <w:rFonts w:ascii="Times New Roman" w:hAnsi="Times New Roman"/>
          <w:sz w:val="28"/>
          <w:szCs w:val="28"/>
        </w:rPr>
        <w:t xml:space="preserve">Отличия уровня этого показателя выявлено и в зависимости от стадий ММ, что характеризовалось его повышением в 1,2 раза у пациентов с </w:t>
      </w:r>
      <w:r w:rsidRPr="00A11646">
        <w:rPr>
          <w:rFonts w:ascii="Times New Roman" w:hAnsi="Times New Roman"/>
          <w:sz w:val="28"/>
          <w:szCs w:val="28"/>
          <w:lang w:val="en-US"/>
        </w:rPr>
        <w:t>III</w:t>
      </w:r>
      <w:r w:rsidRPr="00A11646">
        <w:rPr>
          <w:rFonts w:ascii="Times New Roman" w:hAnsi="Times New Roman"/>
          <w:sz w:val="28"/>
          <w:szCs w:val="28"/>
        </w:rPr>
        <w:t xml:space="preserve"> по сравнению со </w:t>
      </w:r>
      <w:r w:rsidRPr="00A11646">
        <w:rPr>
          <w:rFonts w:ascii="Times New Roman" w:hAnsi="Times New Roman"/>
          <w:sz w:val="28"/>
          <w:szCs w:val="28"/>
          <w:lang w:val="en-US"/>
        </w:rPr>
        <w:t>II</w:t>
      </w:r>
      <w:r w:rsidRPr="00A11646">
        <w:rPr>
          <w:rFonts w:ascii="Times New Roman" w:hAnsi="Times New Roman"/>
          <w:sz w:val="28"/>
          <w:szCs w:val="28"/>
        </w:rPr>
        <w:t xml:space="preserve"> стадией заболевания. Подобная картина различий  наблюдалась и при А и В стадиях заболевания, в частности если у больных с А стадией креатинин составил </w:t>
      </w:r>
      <w:r w:rsidRPr="00A11646">
        <w:rPr>
          <w:rFonts w:ascii="Times New Roman" w:hAnsi="Times New Roman"/>
          <w:sz w:val="28"/>
          <w:szCs w:val="28"/>
          <w:lang w:val="uz-Cyrl-UZ"/>
        </w:rPr>
        <w:t>87,8</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uz-Cyrl-UZ"/>
        </w:rPr>
        <w:t xml:space="preserve">15,4 </w:t>
      </w:r>
      <w:r w:rsidRPr="00A11646">
        <w:rPr>
          <w:rFonts w:ascii="Times New Roman" w:hAnsi="Times New Roman"/>
          <w:sz w:val="28"/>
          <w:szCs w:val="28"/>
          <w:lang w:val="uz-Cyrl-UZ"/>
        </w:rPr>
        <w:t>мкмоль/л (р</w:t>
      </w:r>
      <w:r w:rsidRPr="00A11646">
        <w:rPr>
          <w:rFonts w:ascii="Times New Roman" w:eastAsia="Times New Roman" w:hAnsi="Times New Roman"/>
          <w:sz w:val="28"/>
          <w:szCs w:val="28"/>
        </w:rPr>
        <w:t xml:space="preserve">&lt;0,05), то у больных с В стадией </w:t>
      </w:r>
      <w:r w:rsidRPr="00A11646">
        <w:rPr>
          <w:rFonts w:ascii="Times New Roman" w:hAnsi="Times New Roman"/>
          <w:sz w:val="28"/>
          <w:szCs w:val="28"/>
        </w:rPr>
        <w:t xml:space="preserve"> он превышал почти в 2 раза (</w:t>
      </w:r>
      <w:r w:rsidRPr="00A11646">
        <w:rPr>
          <w:rFonts w:ascii="Times New Roman" w:hAnsi="Times New Roman"/>
          <w:sz w:val="28"/>
          <w:szCs w:val="28"/>
          <w:lang w:val="uz-Cyrl-UZ"/>
        </w:rPr>
        <w:t>155,3</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uz-Cyrl-UZ"/>
        </w:rPr>
        <w:t xml:space="preserve">29,8 </w:t>
      </w:r>
      <w:r w:rsidRPr="00A11646">
        <w:rPr>
          <w:rFonts w:ascii="Times New Roman" w:hAnsi="Times New Roman"/>
          <w:sz w:val="28"/>
          <w:szCs w:val="28"/>
          <w:lang w:val="uz-Cyrl-UZ"/>
        </w:rPr>
        <w:t>мкмоль/л; (р</w:t>
      </w:r>
      <w:r w:rsidRPr="00A11646">
        <w:rPr>
          <w:rFonts w:ascii="Times New Roman" w:eastAsia="Times New Roman" w:hAnsi="Times New Roman"/>
          <w:sz w:val="28"/>
          <w:szCs w:val="28"/>
        </w:rPr>
        <w:t>&lt;0,05)) (рис. 3.2.2.3.).</w:t>
      </w:r>
    </w:p>
    <w:bookmarkEnd w:id="154"/>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noProof/>
          <w:sz w:val="28"/>
          <w:szCs w:val="28"/>
        </w:rPr>
        <w:lastRenderedPageBreak/>
        <w:drawing>
          <wp:inline distT="0" distB="0" distL="0" distR="0">
            <wp:extent cx="5486400" cy="2811780"/>
            <wp:effectExtent l="0" t="0" r="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28C9" w:rsidRPr="00A11646" w:rsidRDefault="00C328C9" w:rsidP="00C328C9">
      <w:pPr>
        <w:autoSpaceDE w:val="0"/>
        <w:autoSpaceDN w:val="0"/>
        <w:adjustRightInd w:val="0"/>
        <w:spacing w:after="0" w:line="360" w:lineRule="auto"/>
        <w:ind w:firstLine="708"/>
        <w:jc w:val="center"/>
        <w:rPr>
          <w:rFonts w:ascii="Times New Roman" w:eastAsia="Times New Roman" w:hAnsi="Times New Roman"/>
          <w:b/>
          <w:sz w:val="28"/>
          <w:szCs w:val="28"/>
        </w:rPr>
      </w:pPr>
      <w:r w:rsidRPr="00A11646">
        <w:rPr>
          <w:rFonts w:ascii="Times New Roman" w:eastAsia="Times New Roman" w:hAnsi="Times New Roman"/>
          <w:b/>
          <w:sz w:val="28"/>
          <w:szCs w:val="28"/>
          <w:lang w:val="uz-Cyrl-UZ"/>
        </w:rPr>
        <w:t xml:space="preserve">Рис.3.2.2.3. </w:t>
      </w:r>
      <w:r w:rsidRPr="00A11646">
        <w:rPr>
          <w:rFonts w:ascii="Times New Roman" w:eastAsia="Times New Roman" w:hAnsi="Times New Roman"/>
          <w:b/>
          <w:sz w:val="28"/>
          <w:szCs w:val="28"/>
        </w:rPr>
        <w:t xml:space="preserve">Сравнительный анализ уровня </w:t>
      </w:r>
      <w:r w:rsidRPr="00A11646">
        <w:rPr>
          <w:rFonts w:ascii="Times New Roman" w:hAnsi="Times New Roman"/>
          <w:b/>
          <w:sz w:val="28"/>
          <w:szCs w:val="28"/>
        </w:rPr>
        <w:t>креатинина в сыворотке крови</w:t>
      </w:r>
      <w:r w:rsidR="004A20F9">
        <w:rPr>
          <w:rFonts w:ascii="Times New Roman" w:hAnsi="Times New Roman"/>
          <w:b/>
          <w:sz w:val="28"/>
          <w:szCs w:val="28"/>
          <w:lang w:val="uz-Cyrl-UZ"/>
        </w:rPr>
        <w:t xml:space="preserve"> </w:t>
      </w:r>
      <w:r w:rsidRPr="00A11646">
        <w:rPr>
          <w:rFonts w:ascii="Times New Roman" w:eastAsia="Times New Roman" w:hAnsi="Times New Roman"/>
          <w:b/>
          <w:sz w:val="28"/>
          <w:szCs w:val="28"/>
        </w:rPr>
        <w:t>в зависимости от стадии ММ.</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hAnsi="Times New Roman"/>
          <w:sz w:val="28"/>
          <w:szCs w:val="28"/>
        </w:rPr>
        <w:t xml:space="preserve">Оценка уровня мочевины в зависимости от иммунохимического варианта ММ показало наибольшее его повышение у больных </w:t>
      </w:r>
      <w:r w:rsidRPr="00A11646">
        <w:rPr>
          <w:rFonts w:ascii="Times New Roman" w:hAnsi="Times New Roman"/>
          <w:sz w:val="28"/>
          <w:szCs w:val="28"/>
          <w:lang w:val="en-US"/>
        </w:rPr>
        <w:t>IgG</w:t>
      </w:r>
      <w:r w:rsidRPr="00A11646">
        <w:rPr>
          <w:rFonts w:ascii="Times New Roman" w:eastAsia="Times New Roman" w:hAnsi="Times New Roman"/>
          <w:sz w:val="28"/>
          <w:szCs w:val="28"/>
        </w:rPr>
        <w:t>λ</w:t>
      </w:r>
      <w:r w:rsidRPr="00A11646">
        <w:rPr>
          <w:rFonts w:ascii="Times New Roman" w:hAnsi="Times New Roman"/>
          <w:sz w:val="28"/>
          <w:szCs w:val="28"/>
        </w:rPr>
        <w:t xml:space="preserve">     (</w:t>
      </w:r>
      <w:r w:rsidRPr="00A11646">
        <w:rPr>
          <w:rFonts w:ascii="Times New Roman" w:eastAsia="Times New Roman" w:hAnsi="Times New Roman"/>
          <w:sz w:val="28"/>
          <w:szCs w:val="28"/>
        </w:rPr>
        <w:t xml:space="preserve">12,6±1,6;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&lt;0,001</w:t>
      </w:r>
      <w:r w:rsidRPr="00A11646">
        <w:rPr>
          <w:rFonts w:ascii="Times New Roman" w:eastAsia="Times New Roman" w:hAnsi="Times New Roman"/>
          <w:sz w:val="28"/>
          <w:szCs w:val="28"/>
          <w:lang w:val="uz-Cyrl-UZ"/>
        </w:rPr>
        <w:t xml:space="preserve">), который превышал таковой показатель при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κ  в 1,4 (9,1±0,49 мкмоль/л;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 xml:space="preserve">&lt;0,001), при </w:t>
      </w:r>
      <w:bookmarkStart w:id="155" w:name="_Hlk6091846"/>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eastAsia="Times New Roman" w:hAnsi="Times New Roman"/>
          <w:sz w:val="28"/>
          <w:szCs w:val="28"/>
        </w:rPr>
        <w:t xml:space="preserve">κ  в 1,3 (9,6±0,85 мкмоль/л;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&gt;0,05)</w:t>
      </w:r>
      <w:bookmarkEnd w:id="155"/>
      <w:r w:rsidRPr="00A11646">
        <w:rPr>
          <w:rFonts w:ascii="Times New Roman" w:eastAsia="Times New Roman" w:hAnsi="Times New Roman"/>
          <w:sz w:val="28"/>
          <w:szCs w:val="28"/>
        </w:rPr>
        <w:t xml:space="preserve">,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eastAsia="Times New Roman" w:hAnsi="Times New Roman"/>
          <w:sz w:val="28"/>
          <w:szCs w:val="28"/>
        </w:rPr>
        <w:t xml:space="preserve">λ в 1,2 (10,5±2,0 мкмоль/л;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&gt;0,05) и при редких вариантах</w:t>
      </w:r>
      <w:r w:rsidRPr="00A11646">
        <w:rPr>
          <w:rFonts w:ascii="Times New Roman" w:hAnsi="Times New Roman"/>
          <w:sz w:val="28"/>
          <w:szCs w:val="28"/>
          <w:lang w:val="en-US"/>
        </w:rPr>
        <w:t>Ig</w:t>
      </w:r>
      <w:r w:rsidRPr="00A11646">
        <w:rPr>
          <w:rFonts w:ascii="Times New Roman" w:hAnsi="Times New Roman"/>
          <w:sz w:val="28"/>
          <w:szCs w:val="28"/>
        </w:rPr>
        <w:t xml:space="preserve"> 1,3</w:t>
      </w:r>
      <w:r w:rsidRPr="00A11646">
        <w:rPr>
          <w:rFonts w:ascii="Times New Roman" w:eastAsia="Times New Roman" w:hAnsi="Times New Roman"/>
          <w:sz w:val="28"/>
          <w:szCs w:val="28"/>
        </w:rPr>
        <w:t xml:space="preserve"> (9,6+1,1 мкмоль/л;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&lt;0,01)</w:t>
      </w:r>
      <w:r w:rsidRPr="00A11646">
        <w:rPr>
          <w:rFonts w:ascii="Times New Roman" w:eastAsia="Times New Roman" w:hAnsi="Times New Roman"/>
          <w:sz w:val="28"/>
          <w:szCs w:val="28"/>
          <w:lang w:val="uz-Cyrl-UZ"/>
        </w:rPr>
        <w:t xml:space="preserve"> (табл. 3.2.2.2.).</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rPr>
        <w:t xml:space="preserve">В зависимости от стадий ММ также выявлена разница в уровне мочевины. Так </w:t>
      </w:r>
      <w:r w:rsidRPr="00A11646">
        <w:rPr>
          <w:rFonts w:ascii="Times New Roman" w:eastAsia="Times New Roman" w:hAnsi="Times New Roman"/>
          <w:sz w:val="28"/>
          <w:szCs w:val="28"/>
        </w:rPr>
        <w:t>у больных</w:t>
      </w:r>
      <w:r w:rsidRPr="00A11646">
        <w:rPr>
          <w:rFonts w:ascii="Times New Roman" w:hAnsi="Times New Roman"/>
          <w:sz w:val="28"/>
          <w:szCs w:val="28"/>
        </w:rPr>
        <w:t xml:space="preserve"> с </w:t>
      </w:r>
      <w:r w:rsidRPr="00A11646">
        <w:rPr>
          <w:rFonts w:ascii="Times New Roman" w:hAnsi="Times New Roman"/>
          <w:sz w:val="28"/>
          <w:szCs w:val="28"/>
          <w:lang w:val="en-US"/>
        </w:rPr>
        <w:t>III</w:t>
      </w:r>
      <w:r w:rsidRPr="00A11646">
        <w:rPr>
          <w:rFonts w:ascii="Times New Roman" w:hAnsi="Times New Roman"/>
          <w:sz w:val="28"/>
          <w:szCs w:val="28"/>
        </w:rPr>
        <w:t xml:space="preserve"> стадией по сравнению со </w:t>
      </w:r>
      <w:r w:rsidRPr="00A11646">
        <w:rPr>
          <w:rFonts w:ascii="Times New Roman" w:hAnsi="Times New Roman"/>
          <w:sz w:val="28"/>
          <w:szCs w:val="28"/>
          <w:lang w:val="en-US"/>
        </w:rPr>
        <w:t>II</w:t>
      </w:r>
      <w:r w:rsidRPr="00A11646">
        <w:rPr>
          <w:rFonts w:ascii="Times New Roman" w:hAnsi="Times New Roman"/>
          <w:sz w:val="28"/>
          <w:szCs w:val="28"/>
        </w:rPr>
        <w:t xml:space="preserve"> стадией заболевания он оказался выше в 1,2 раза, а у больных с В стадией в 1,75 раза выше такового с А стадией </w:t>
      </w:r>
      <w:r w:rsidRPr="00A11646">
        <w:rPr>
          <w:rFonts w:ascii="Times New Roman" w:eastAsia="Times New Roman" w:hAnsi="Times New Roman"/>
          <w:sz w:val="28"/>
          <w:szCs w:val="28"/>
        </w:rPr>
        <w:t xml:space="preserve">(рис. 3.2.2.4.). </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rPr>
        <w:t>Уровень остаточного азота у всех обследованных больных находился в пределах нормы (рис.3.2.2.5.).</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bookmarkStart w:id="156" w:name="_Hlk6092584"/>
      <w:r w:rsidRPr="00A11646">
        <w:rPr>
          <w:rFonts w:ascii="Times New Roman" w:eastAsia="Times New Roman" w:hAnsi="Times New Roman"/>
          <w:noProof/>
          <w:sz w:val="28"/>
          <w:szCs w:val="28"/>
        </w:rPr>
        <w:lastRenderedPageBreak/>
        <w:drawing>
          <wp:inline distT="0" distB="0" distL="0" distR="0">
            <wp:extent cx="5486400" cy="2819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b/>
          <w:sz w:val="28"/>
          <w:szCs w:val="28"/>
        </w:rPr>
      </w:pPr>
      <w:r w:rsidRPr="00A11646">
        <w:rPr>
          <w:rFonts w:ascii="Times New Roman" w:eastAsia="Times New Roman" w:hAnsi="Times New Roman"/>
          <w:b/>
          <w:sz w:val="28"/>
          <w:szCs w:val="28"/>
        </w:rPr>
        <w:t>Рис.3.2.2.4. Анализ уровня мочевины в сыворотке крови у больных ММ в зависимости от стадии заболевания</w:t>
      </w:r>
      <w:bookmarkEnd w:id="156"/>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b/>
          <w:sz w:val="28"/>
          <w:szCs w:val="28"/>
        </w:rPr>
      </w:pPr>
      <w:r w:rsidRPr="00A11646">
        <w:rPr>
          <w:rFonts w:ascii="Times New Roman" w:eastAsia="Times New Roman" w:hAnsi="Times New Roman"/>
          <w:noProof/>
          <w:sz w:val="28"/>
          <w:szCs w:val="28"/>
        </w:rPr>
        <w:drawing>
          <wp:inline distT="0" distB="0" distL="0" distR="0">
            <wp:extent cx="5486400" cy="320040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A11646">
        <w:rPr>
          <w:rFonts w:ascii="Times New Roman" w:eastAsia="Times New Roman" w:hAnsi="Times New Roman"/>
          <w:b/>
          <w:sz w:val="28"/>
          <w:szCs w:val="28"/>
        </w:rPr>
        <w:t>Рис.3.2.2.5. Анализ уровня остаточного азота в сыворотке крови у больных ММ в зависимости от стадии заболевания</w:t>
      </w:r>
    </w:p>
    <w:p w:rsidR="00C328C9" w:rsidRPr="00A11646" w:rsidRDefault="00C328C9" w:rsidP="00C328C9">
      <w:pPr>
        <w:autoSpaceDE w:val="0"/>
        <w:autoSpaceDN w:val="0"/>
        <w:adjustRightInd w:val="0"/>
        <w:spacing w:after="0" w:line="360" w:lineRule="auto"/>
        <w:ind w:firstLine="708"/>
        <w:jc w:val="both"/>
        <w:rPr>
          <w:rFonts w:ascii="Times New Roman" w:eastAsia="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Обобщая выявленные изменения со стороны уровня показателей креатинина и мочевины, следует отметить, что основной причиной их повышения является миеломная нефропатия у больных ММ, которая формируется как следствие результата отложения патологического белка в   </w:t>
      </w:r>
      <w:r w:rsidRPr="00A11646">
        <w:rPr>
          <w:rFonts w:ascii="Times New Roman" w:hAnsi="Times New Roman"/>
          <w:sz w:val="28"/>
          <w:szCs w:val="28"/>
        </w:rPr>
        <w:lastRenderedPageBreak/>
        <w:t xml:space="preserve">канальцах нефрона почек. В свою очередь у больных развивается почечная недостаточность, что оказывает влияние на их общую выживаемость непосредственно приводя к ее снижению </w:t>
      </w:r>
      <w:bookmarkStart w:id="157" w:name="_Hlk8247564"/>
      <w:r w:rsidRPr="00A11646">
        <w:rPr>
          <w:rFonts w:ascii="Times New Roman" w:eastAsia="Calibri" w:hAnsi="Times New Roman"/>
          <w:sz w:val="28"/>
          <w:szCs w:val="28"/>
        </w:rPr>
        <w:t>[7, с.140]</w:t>
      </w:r>
      <w:bookmarkEnd w:id="157"/>
      <w:r w:rsidRPr="00A11646">
        <w:rPr>
          <w:rFonts w:ascii="Times New Roman" w:hAnsi="Times New Roman"/>
          <w:sz w:val="28"/>
          <w:szCs w:val="28"/>
        </w:rPr>
        <w:t>. Наряду с этим почечная недостаточность является ограничением для проведения высокодозной ПХТ и аутоТГСК [107, с. 700-704].</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Проведение биохимического анализа мочи позволило выявить форму ММ с белком Бенс-Джонса у 24 (19,4%) больных, которая является неблагоприятной формой заболевания в плане течения, прогноза и лечения больных (табл.3.2.2.3.). </w:t>
      </w:r>
    </w:p>
    <w:p w:rsidR="00C328C9" w:rsidRPr="00A11646" w:rsidRDefault="00C328C9" w:rsidP="00C328C9">
      <w:pPr>
        <w:autoSpaceDE w:val="0"/>
        <w:autoSpaceDN w:val="0"/>
        <w:adjustRightInd w:val="0"/>
        <w:spacing w:after="0" w:line="360" w:lineRule="auto"/>
        <w:ind w:firstLine="708"/>
        <w:jc w:val="right"/>
        <w:rPr>
          <w:rFonts w:ascii="Times New Roman" w:hAnsi="Times New Roman"/>
          <w:b/>
          <w:sz w:val="28"/>
          <w:szCs w:val="28"/>
        </w:rPr>
      </w:pPr>
      <w:r w:rsidRPr="00A11646">
        <w:rPr>
          <w:rFonts w:ascii="Times New Roman" w:hAnsi="Times New Roman"/>
          <w:b/>
          <w:sz w:val="28"/>
          <w:szCs w:val="28"/>
        </w:rPr>
        <w:t>Таблица 3.2.2.3.</w:t>
      </w:r>
    </w:p>
    <w:p w:rsidR="00C328C9" w:rsidRPr="00A11646" w:rsidRDefault="00C328C9" w:rsidP="00C328C9">
      <w:pPr>
        <w:jc w:val="center"/>
        <w:rPr>
          <w:rFonts w:ascii="Times New Roman" w:eastAsia="Times New Roman" w:hAnsi="Times New Roman"/>
          <w:b/>
          <w:sz w:val="28"/>
          <w:szCs w:val="28"/>
        </w:rPr>
      </w:pPr>
      <w:r w:rsidRPr="00A11646">
        <w:rPr>
          <w:rFonts w:ascii="Times New Roman" w:eastAsia="Times New Roman" w:hAnsi="Times New Roman"/>
          <w:b/>
          <w:sz w:val="28"/>
          <w:szCs w:val="28"/>
        </w:rPr>
        <w:t>Сравнительное распределение больных ММ с наличием в моче</w:t>
      </w:r>
    </w:p>
    <w:p w:rsidR="00C328C9" w:rsidRPr="00A11646" w:rsidRDefault="00C328C9" w:rsidP="00C328C9">
      <w:pPr>
        <w:jc w:val="center"/>
        <w:rPr>
          <w:rFonts w:ascii="Times New Roman" w:eastAsia="Times New Roman" w:hAnsi="Times New Roman"/>
          <w:b/>
          <w:sz w:val="28"/>
          <w:szCs w:val="28"/>
        </w:rPr>
      </w:pPr>
      <w:r w:rsidRPr="00A11646">
        <w:rPr>
          <w:rFonts w:ascii="Times New Roman" w:eastAsia="Times New Roman" w:hAnsi="Times New Roman"/>
          <w:b/>
          <w:sz w:val="28"/>
          <w:szCs w:val="28"/>
        </w:rPr>
        <w:t xml:space="preserve"> белка Бенс-Джонса</w:t>
      </w:r>
    </w:p>
    <w:tbl>
      <w:tblPr>
        <w:tblStyle w:val="3"/>
        <w:tblW w:w="9209" w:type="dxa"/>
        <w:tblLook w:val="04A0"/>
      </w:tblPr>
      <w:tblGrid>
        <w:gridCol w:w="1271"/>
        <w:gridCol w:w="3827"/>
        <w:gridCol w:w="1843"/>
        <w:gridCol w:w="2268"/>
      </w:tblGrid>
      <w:tr w:rsidR="00A11646" w:rsidRPr="00A11646" w:rsidTr="00C328C9">
        <w:trPr>
          <w:trHeight w:val="423"/>
        </w:trPr>
        <w:tc>
          <w:tcPr>
            <w:tcW w:w="509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Белок Бенс -Джонса</w:t>
            </w:r>
          </w:p>
        </w:tc>
      </w:tr>
      <w:tr w:rsidR="00A11646" w:rsidRPr="00A11646" w:rsidTr="00C328C9">
        <w:trPr>
          <w:trHeight w:val="423"/>
        </w:trPr>
        <w:tc>
          <w:tcPr>
            <w:tcW w:w="5098" w:type="dxa"/>
            <w:gridSpan w:val="2"/>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rPr>
                <w:rFonts w:ascii="Times New Roman" w:eastAsia="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абс</w:t>
            </w:r>
          </w:p>
        </w:tc>
        <w:tc>
          <w:tcPr>
            <w:tcW w:w="2268" w:type="dxa"/>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A11646" w:rsidRPr="00A11646" w:rsidTr="00C328C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843" w:type="dxa"/>
            <w:tcBorders>
              <w:top w:val="single" w:sz="4" w:space="0" w:color="auto"/>
              <w:left w:val="nil"/>
              <w:bottom w:val="single" w:sz="4" w:space="0" w:color="auto"/>
              <w:right w:val="single" w:sz="4" w:space="0" w:color="auto"/>
            </w:tcBorders>
            <w:shd w:val="clear" w:color="auto" w:fill="FFFFFF"/>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 6    </w:t>
            </w:r>
          </w:p>
        </w:tc>
        <w:tc>
          <w:tcPr>
            <w:tcW w:w="2268" w:type="dxa"/>
            <w:tcBorders>
              <w:top w:val="single" w:sz="4" w:space="0" w:color="auto"/>
              <w:left w:val="nil"/>
              <w:bottom w:val="single" w:sz="4" w:space="0" w:color="auto"/>
              <w:right w:val="single" w:sz="4" w:space="0" w:color="auto"/>
            </w:tcBorders>
            <w:shd w:val="clear" w:color="auto" w:fill="FFFFFF"/>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4,8%</w:t>
            </w:r>
          </w:p>
        </w:tc>
      </w:tr>
      <w:tr w:rsidR="00A11646" w:rsidRPr="00A11646" w:rsidTr="00C328C9">
        <w:tc>
          <w:tcPr>
            <w:tcW w:w="1271" w:type="dxa"/>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rPr>
                <w:rFonts w:ascii="Times New Roman" w:eastAsia="Times New Roman" w:hAnsi="Times New Roman"/>
                <w:sz w:val="28"/>
                <w:szCs w:val="28"/>
                <w:lang w:val="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843"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6    </w:t>
            </w:r>
          </w:p>
        </w:tc>
        <w:tc>
          <w:tcPr>
            <w:tcW w:w="2268"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4,8% </w:t>
            </w:r>
          </w:p>
        </w:tc>
      </w:tr>
      <w:tr w:rsidR="00A11646" w:rsidRPr="00A11646" w:rsidTr="00C328C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843"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2    </w:t>
            </w:r>
          </w:p>
        </w:tc>
        <w:tc>
          <w:tcPr>
            <w:tcW w:w="2268"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 1,6%</w:t>
            </w:r>
          </w:p>
        </w:tc>
      </w:tr>
      <w:tr w:rsidR="00A11646" w:rsidRPr="00A11646" w:rsidTr="00C328C9">
        <w:tc>
          <w:tcPr>
            <w:tcW w:w="1271" w:type="dxa"/>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rPr>
                <w:rFonts w:ascii="Times New Roman" w:eastAsia="Times New Roman" w:hAnsi="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843"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4   </w:t>
            </w:r>
          </w:p>
        </w:tc>
        <w:tc>
          <w:tcPr>
            <w:tcW w:w="2268"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3,2% </w:t>
            </w:r>
          </w:p>
        </w:tc>
      </w:tr>
      <w:tr w:rsidR="00A11646" w:rsidRPr="00A11646" w:rsidTr="00C328C9">
        <w:tc>
          <w:tcPr>
            <w:tcW w:w="5098" w:type="dxa"/>
            <w:gridSpan w:val="2"/>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1843"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6    </w:t>
            </w:r>
          </w:p>
        </w:tc>
        <w:tc>
          <w:tcPr>
            <w:tcW w:w="2268"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4,8% </w:t>
            </w:r>
          </w:p>
        </w:tc>
      </w:tr>
      <w:tr w:rsidR="00C328C9" w:rsidRPr="00A11646" w:rsidTr="00C328C9">
        <w:tc>
          <w:tcPr>
            <w:tcW w:w="5098" w:type="dxa"/>
            <w:gridSpan w:val="2"/>
            <w:tcBorders>
              <w:top w:val="single" w:sz="4" w:space="0" w:color="auto"/>
              <w:left w:val="single" w:sz="4" w:space="0" w:color="auto"/>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ВСЕГО</w:t>
            </w:r>
          </w:p>
        </w:tc>
        <w:tc>
          <w:tcPr>
            <w:tcW w:w="1843"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24</w:t>
            </w:r>
          </w:p>
        </w:tc>
        <w:tc>
          <w:tcPr>
            <w:tcW w:w="2268"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19,3%</w:t>
            </w:r>
          </w:p>
        </w:tc>
      </w:tr>
    </w:tbl>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Распределение больных в зависимости от стадии А и В показало, что встречаемость белка Бенс-Джонса у больных с В стадией была выше в 2 раза по отношению к больным с А стадией (рис. 3.2.2.6.).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noProof/>
          <w:sz w:val="28"/>
          <w:szCs w:val="28"/>
        </w:rPr>
        <w:lastRenderedPageBreak/>
        <w:drawing>
          <wp:inline distT="0" distB="0" distL="0" distR="0">
            <wp:extent cx="5486400" cy="3200400"/>
            <wp:effectExtent l="19050" t="0" r="1905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328C9" w:rsidRPr="00A11646" w:rsidRDefault="00C328C9" w:rsidP="00C328C9">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b/>
          <w:sz w:val="28"/>
          <w:szCs w:val="28"/>
        </w:rPr>
        <w:t>Рис.3.2.2.6. Распределение больных с белком Бенс-Джонса по стадиям А и В.</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Анализ исследования мочи показал наличие протеинурии практически при всех иммунохимических вариантах ММ (табл. 3.2.2.4.) </w:t>
      </w:r>
    </w:p>
    <w:p w:rsidR="00C328C9" w:rsidRPr="00A11646" w:rsidRDefault="00C328C9" w:rsidP="00C328C9">
      <w:pPr>
        <w:autoSpaceDE w:val="0"/>
        <w:autoSpaceDN w:val="0"/>
        <w:adjustRightInd w:val="0"/>
        <w:spacing w:after="0" w:line="360" w:lineRule="auto"/>
        <w:ind w:firstLine="708"/>
        <w:jc w:val="right"/>
        <w:rPr>
          <w:rFonts w:ascii="Times New Roman" w:hAnsi="Times New Roman"/>
          <w:b/>
          <w:sz w:val="28"/>
          <w:szCs w:val="28"/>
        </w:rPr>
      </w:pPr>
      <w:r w:rsidRPr="00A11646">
        <w:rPr>
          <w:rFonts w:ascii="Times New Roman" w:hAnsi="Times New Roman"/>
          <w:b/>
          <w:sz w:val="28"/>
          <w:szCs w:val="28"/>
        </w:rPr>
        <w:t>Таблица 3.2.2.4.</w:t>
      </w:r>
    </w:p>
    <w:p w:rsidR="00C328C9" w:rsidRPr="00A11646" w:rsidRDefault="00C328C9" w:rsidP="00C328C9">
      <w:pPr>
        <w:jc w:val="center"/>
        <w:rPr>
          <w:rFonts w:ascii="Times New Roman" w:eastAsia="Times New Roman" w:hAnsi="Times New Roman"/>
          <w:b/>
          <w:sz w:val="28"/>
          <w:szCs w:val="28"/>
        </w:rPr>
      </w:pPr>
      <w:r w:rsidRPr="00A11646">
        <w:rPr>
          <w:rFonts w:ascii="Times New Roman" w:eastAsia="Times New Roman" w:hAnsi="Times New Roman"/>
          <w:b/>
          <w:sz w:val="28"/>
          <w:szCs w:val="28"/>
        </w:rPr>
        <w:t xml:space="preserve">Протеинурия у больных ММ в зависимости от иммунохимического варианта </w:t>
      </w:r>
    </w:p>
    <w:tbl>
      <w:tblPr>
        <w:tblStyle w:val="3"/>
        <w:tblW w:w="8500" w:type="dxa"/>
        <w:tblInd w:w="709" w:type="dxa"/>
        <w:tblLook w:val="04A0"/>
      </w:tblPr>
      <w:tblGrid>
        <w:gridCol w:w="1271"/>
        <w:gridCol w:w="2835"/>
        <w:gridCol w:w="4394"/>
      </w:tblGrid>
      <w:tr w:rsidR="00A11646" w:rsidRPr="00A11646" w:rsidTr="00C328C9">
        <w:trPr>
          <w:trHeight w:val="856"/>
        </w:trPr>
        <w:tc>
          <w:tcPr>
            <w:tcW w:w="4106" w:type="dxa"/>
            <w:gridSpan w:val="2"/>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4394" w:type="dxa"/>
            <w:tcBorders>
              <w:top w:val="single" w:sz="4" w:space="0" w:color="auto"/>
              <w:left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Белок в моче, г/л</w:t>
            </w:r>
          </w:p>
        </w:tc>
      </w:tr>
      <w:tr w:rsidR="00A11646" w:rsidRPr="00A11646" w:rsidTr="00C328C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2835"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4394" w:type="dxa"/>
            <w:tcBorders>
              <w:top w:val="single" w:sz="4" w:space="0" w:color="auto"/>
              <w:left w:val="nil"/>
              <w:bottom w:val="single" w:sz="4" w:space="0" w:color="auto"/>
              <w:right w:val="single" w:sz="4" w:space="0" w:color="auto"/>
            </w:tcBorders>
            <w:shd w:val="clear" w:color="auto" w:fill="FFFFFF"/>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0,75±0,12***</w:t>
            </w:r>
          </w:p>
        </w:tc>
      </w:tr>
      <w:tr w:rsidR="00A11646" w:rsidRPr="00A11646" w:rsidTr="00C328C9">
        <w:tc>
          <w:tcPr>
            <w:tcW w:w="1271" w:type="dxa"/>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rPr>
                <w:rFonts w:ascii="Times New Roman" w:eastAsia="Times New Roman" w:hAnsi="Times New Roman"/>
                <w:sz w:val="28"/>
                <w:szCs w:val="28"/>
                <w:lang w:val="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4394"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0,92±0,21***</w:t>
            </w:r>
          </w:p>
        </w:tc>
      </w:tr>
      <w:tr w:rsidR="00A11646" w:rsidRPr="00A11646" w:rsidTr="00C328C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4394"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1,2±0,46</w:t>
            </w:r>
          </w:p>
        </w:tc>
      </w:tr>
      <w:tr w:rsidR="00A11646" w:rsidRPr="00A11646" w:rsidTr="00C328C9">
        <w:tc>
          <w:tcPr>
            <w:tcW w:w="1271" w:type="dxa"/>
            <w:vMerge/>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rPr>
                <w:rFonts w:ascii="Times New Roman" w:eastAsia="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4394"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1,1±0,39*</w:t>
            </w:r>
          </w:p>
        </w:tc>
      </w:tr>
      <w:tr w:rsidR="00C328C9" w:rsidRPr="00A11646" w:rsidTr="00C328C9">
        <w:tc>
          <w:tcPr>
            <w:tcW w:w="4106" w:type="dxa"/>
            <w:gridSpan w:val="2"/>
            <w:tcBorders>
              <w:top w:val="single" w:sz="4" w:space="0" w:color="auto"/>
              <w:left w:val="single" w:sz="4" w:space="0" w:color="auto"/>
              <w:bottom w:val="single" w:sz="4" w:space="0" w:color="auto"/>
              <w:right w:val="single" w:sz="4" w:space="0" w:color="auto"/>
            </w:tcBorders>
            <w:vAlign w:val="center"/>
            <w:hideMark/>
          </w:tcPr>
          <w:p w:rsidR="00C328C9" w:rsidRPr="00A11646" w:rsidRDefault="00C328C9" w:rsidP="00C328C9">
            <w:pPr>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4394" w:type="dxa"/>
            <w:tcBorders>
              <w:top w:val="single" w:sz="4" w:space="0" w:color="auto"/>
              <w:left w:val="nil"/>
              <w:bottom w:val="single" w:sz="4" w:space="0" w:color="auto"/>
              <w:right w:val="single" w:sz="4" w:space="0" w:color="auto"/>
            </w:tcBorders>
            <w:vAlign w:val="center"/>
          </w:tcPr>
          <w:p w:rsidR="00C328C9" w:rsidRPr="00A11646" w:rsidRDefault="00C328C9" w:rsidP="00C328C9">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1,8</w:t>
            </w:r>
            <w:bookmarkStart w:id="158" w:name="_Hlk6097892"/>
            <w:r w:rsidRPr="00A11646">
              <w:rPr>
                <w:rFonts w:ascii="Times New Roman" w:eastAsia="Times New Roman" w:hAnsi="Times New Roman"/>
                <w:sz w:val="28"/>
                <w:szCs w:val="28"/>
              </w:rPr>
              <w:t>±</w:t>
            </w:r>
            <w:bookmarkEnd w:id="158"/>
            <w:r w:rsidRPr="00A11646">
              <w:rPr>
                <w:rFonts w:ascii="Times New Roman" w:eastAsia="Times New Roman" w:hAnsi="Times New Roman"/>
                <w:sz w:val="28"/>
                <w:szCs w:val="28"/>
              </w:rPr>
              <w:t>0,35***</w:t>
            </w:r>
          </w:p>
        </w:tc>
      </w:tr>
    </w:tbl>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567A85">
        <w:rPr>
          <w:rFonts w:ascii="Times New Roman" w:hAnsi="Times New Roman"/>
          <w:sz w:val="28"/>
          <w:szCs w:val="28"/>
          <w:highlight w:val="yellow"/>
        </w:rPr>
        <w:t>*- достоверно по сравнению с показателями до лечении (*-P&lt;0,05; **-P&lt;0,01; ***-P&lt;0,001)</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 xml:space="preserve">Наиболее выраженная протеинурия зарегистрирована у больных с вариантом </w:t>
      </w:r>
      <w:r w:rsidRPr="00A11646">
        <w:rPr>
          <w:rFonts w:ascii="Times New Roman" w:hAnsi="Times New Roman"/>
          <w:sz w:val="28"/>
          <w:szCs w:val="28"/>
          <w:lang w:val="en-US"/>
        </w:rPr>
        <w:t>IgA</w:t>
      </w:r>
      <w:r w:rsidRPr="00A11646">
        <w:rPr>
          <w:rFonts w:ascii="Times New Roman" w:hAnsi="Times New Roman"/>
          <w:sz w:val="28"/>
          <w:szCs w:val="28"/>
          <w:lang w:val="uz-Cyrl-UZ"/>
        </w:rPr>
        <w:t>κ(</w:t>
      </w:r>
      <w:r w:rsidRPr="00A11646">
        <w:rPr>
          <w:rFonts w:ascii="Times New Roman" w:eastAsia="Times New Roman" w:hAnsi="Times New Roman"/>
          <w:sz w:val="28"/>
          <w:szCs w:val="28"/>
        </w:rPr>
        <w:t>1,2±0,46</w:t>
      </w:r>
      <w:r w:rsidRPr="00A11646">
        <w:rPr>
          <w:rFonts w:ascii="Times New Roman" w:hAnsi="Times New Roman"/>
          <w:sz w:val="28"/>
          <w:szCs w:val="28"/>
          <w:lang w:val="uz-Cyrl-UZ"/>
        </w:rPr>
        <w:t xml:space="preserve">), </w:t>
      </w:r>
      <w:r w:rsidRPr="00A11646">
        <w:rPr>
          <w:rFonts w:ascii="Times New Roman" w:hAnsi="Times New Roman"/>
          <w:sz w:val="28"/>
          <w:szCs w:val="28"/>
          <w:lang w:val="en-US"/>
        </w:rPr>
        <w:t>IgA</w:t>
      </w:r>
      <w:r w:rsidRPr="00A11646">
        <w:rPr>
          <w:rFonts w:ascii="Times New Roman" w:hAnsi="Times New Roman"/>
          <w:sz w:val="28"/>
          <w:szCs w:val="28"/>
          <w:lang w:val="uz-Cyrl-UZ"/>
        </w:rPr>
        <w:t>λ (</w:t>
      </w:r>
      <w:r w:rsidRPr="00A11646">
        <w:rPr>
          <w:rFonts w:ascii="Times New Roman" w:eastAsia="Times New Roman" w:hAnsi="Times New Roman"/>
          <w:sz w:val="28"/>
          <w:szCs w:val="28"/>
        </w:rPr>
        <w:t>1,1±0,39</w:t>
      </w:r>
      <w:r w:rsidRPr="00A11646">
        <w:rPr>
          <w:rFonts w:ascii="Times New Roman" w:hAnsi="Times New Roman"/>
          <w:sz w:val="28"/>
          <w:szCs w:val="28"/>
          <w:lang w:val="uz-Cyrl-UZ"/>
        </w:rPr>
        <w:t>) и редких вариантах (</w:t>
      </w:r>
      <w:r w:rsidRPr="00A11646">
        <w:rPr>
          <w:rFonts w:ascii="Times New Roman" w:eastAsia="Times New Roman" w:hAnsi="Times New Roman"/>
          <w:sz w:val="28"/>
          <w:szCs w:val="28"/>
        </w:rPr>
        <w:t>1,8±0,35</w:t>
      </w:r>
      <w:r w:rsidRPr="00A11646">
        <w:rPr>
          <w:rFonts w:ascii="Times New Roman" w:hAnsi="Times New Roman"/>
          <w:sz w:val="28"/>
          <w:szCs w:val="28"/>
          <w:lang w:val="uz-Cyrl-UZ"/>
        </w:rPr>
        <w:t>).</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Как видно, </w:t>
      </w:r>
      <w:r w:rsidRPr="00A11646">
        <w:rPr>
          <w:rFonts w:ascii="Times New Roman" w:hAnsi="Times New Roman"/>
          <w:sz w:val="28"/>
          <w:szCs w:val="28"/>
          <w:lang w:val="uz-Cyrl-UZ"/>
        </w:rPr>
        <w:t xml:space="preserve">из таблицы </w:t>
      </w:r>
      <w:r w:rsidRPr="00A11646">
        <w:rPr>
          <w:rFonts w:ascii="Times New Roman" w:hAnsi="Times New Roman"/>
          <w:sz w:val="28"/>
          <w:szCs w:val="28"/>
        </w:rPr>
        <w:t>уровень протеинурии у больных ММ с секрецией IgA</w:t>
      </w:r>
      <w:r w:rsidRPr="00A11646">
        <w:rPr>
          <w:rFonts w:ascii="Times New Roman" w:eastAsia="Times New Roman" w:hAnsi="Times New Roman"/>
          <w:sz w:val="28"/>
          <w:szCs w:val="28"/>
        </w:rPr>
        <w:t>κ</w:t>
      </w:r>
      <w:r w:rsidRPr="00A11646">
        <w:rPr>
          <w:rFonts w:ascii="Times New Roman" w:hAnsi="Times New Roman"/>
          <w:sz w:val="28"/>
          <w:szCs w:val="28"/>
        </w:rPr>
        <w:t xml:space="preserve"> был в 1,6 раза выше уровня протеинурии больных IgG</w:t>
      </w:r>
      <w:r w:rsidRPr="00A11646">
        <w:rPr>
          <w:rFonts w:ascii="Times New Roman" w:eastAsia="Times New Roman" w:hAnsi="Times New Roman"/>
          <w:sz w:val="28"/>
          <w:szCs w:val="28"/>
        </w:rPr>
        <w:t>κ</w:t>
      </w:r>
      <w:r w:rsidRPr="00A11646">
        <w:rPr>
          <w:rFonts w:ascii="Times New Roman" w:hAnsi="Times New Roman"/>
          <w:sz w:val="28"/>
          <w:szCs w:val="28"/>
        </w:rPr>
        <w:t>-</w:t>
      </w:r>
      <w:r w:rsidRPr="00A11646">
        <w:rPr>
          <w:rFonts w:ascii="Times New Roman" w:hAnsi="Times New Roman"/>
          <w:sz w:val="28"/>
          <w:szCs w:val="28"/>
        </w:rPr>
        <w:lastRenderedPageBreak/>
        <w:t>миеломой, а у больных ММ с секрецией Ig</w:t>
      </w:r>
      <w:r w:rsidRPr="00A11646">
        <w:rPr>
          <w:rFonts w:ascii="Times New Roman" w:hAnsi="Times New Roman"/>
          <w:sz w:val="28"/>
          <w:szCs w:val="28"/>
          <w:lang w:val="en-US"/>
        </w:rPr>
        <w:t>A</w:t>
      </w:r>
      <w:r w:rsidRPr="00A11646">
        <w:rPr>
          <w:rFonts w:ascii="Times New Roman" w:eastAsia="Times New Roman" w:hAnsi="Times New Roman"/>
          <w:sz w:val="28"/>
          <w:szCs w:val="28"/>
        </w:rPr>
        <w:t>λ</w:t>
      </w:r>
      <w:r w:rsidRPr="00A11646">
        <w:rPr>
          <w:rFonts w:ascii="Times New Roman" w:hAnsi="Times New Roman"/>
          <w:sz w:val="28"/>
          <w:szCs w:val="28"/>
        </w:rPr>
        <w:t xml:space="preserve"> был в 1,2 раза выше уровня протеинурии больных IgG</w:t>
      </w:r>
      <w:r w:rsidRPr="00A11646">
        <w:rPr>
          <w:rFonts w:ascii="Times New Roman" w:eastAsia="Times New Roman" w:hAnsi="Times New Roman"/>
          <w:sz w:val="28"/>
          <w:szCs w:val="28"/>
        </w:rPr>
        <w:t>λ</w:t>
      </w:r>
      <w:r w:rsidRPr="00A11646">
        <w:rPr>
          <w:rFonts w:ascii="Times New Roman" w:hAnsi="Times New Roman"/>
          <w:sz w:val="28"/>
          <w:szCs w:val="28"/>
        </w:rPr>
        <w:t xml:space="preserve">-миеломой. </w:t>
      </w:r>
    </w:p>
    <w:p w:rsidR="00C328C9" w:rsidRPr="00A11646" w:rsidRDefault="00C328C9" w:rsidP="00C328C9">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У больных ММ с белком Бенс-Джонса протеинурия (2,2</w:t>
      </w:r>
      <w:r w:rsidRPr="00A11646">
        <w:rPr>
          <w:rFonts w:ascii="Times New Roman" w:eastAsia="Times New Roman" w:hAnsi="Times New Roman"/>
          <w:sz w:val="28"/>
          <w:szCs w:val="28"/>
        </w:rPr>
        <w:t>±0,3)</w:t>
      </w:r>
      <w:r w:rsidRPr="00A11646">
        <w:rPr>
          <w:rFonts w:ascii="Times New Roman" w:hAnsi="Times New Roman"/>
          <w:sz w:val="28"/>
          <w:szCs w:val="28"/>
        </w:rPr>
        <w:t>.  превысила таковую у больных с его отсутствием (0,7</w:t>
      </w:r>
      <w:r w:rsidRPr="00A11646">
        <w:rPr>
          <w:rFonts w:ascii="Times New Roman" w:eastAsia="Times New Roman" w:hAnsi="Times New Roman"/>
          <w:sz w:val="28"/>
          <w:szCs w:val="28"/>
        </w:rPr>
        <w:t>±0,2)</w:t>
      </w:r>
      <w:r w:rsidRPr="00A11646">
        <w:rPr>
          <w:rFonts w:ascii="Times New Roman" w:hAnsi="Times New Roman"/>
          <w:sz w:val="28"/>
          <w:szCs w:val="28"/>
        </w:rPr>
        <w:t xml:space="preserve"> в среднем 3,1 раза.</w:t>
      </w:r>
    </w:p>
    <w:p w:rsidR="00C328C9" w:rsidRPr="00A11646" w:rsidRDefault="00C328C9" w:rsidP="00C328C9">
      <w:pPr>
        <w:pStyle w:val="a3"/>
        <w:spacing w:line="360" w:lineRule="auto"/>
        <w:ind w:firstLine="708"/>
        <w:jc w:val="center"/>
        <w:rPr>
          <w:color w:val="auto"/>
          <w:lang w:val="uz-Cyrl-UZ"/>
        </w:rPr>
      </w:pPr>
      <w:r w:rsidRPr="00A11646">
        <w:rPr>
          <w:b/>
          <w:color w:val="auto"/>
          <w:lang w:val="uz-Cyrl-UZ"/>
        </w:rPr>
        <w:t>Заключение.</w:t>
      </w:r>
    </w:p>
    <w:p w:rsidR="00C328C9" w:rsidRPr="00A11646" w:rsidRDefault="00C328C9" w:rsidP="00C328C9">
      <w:pPr>
        <w:pStyle w:val="a3"/>
        <w:spacing w:line="360" w:lineRule="auto"/>
        <w:ind w:firstLine="708"/>
        <w:jc w:val="both"/>
        <w:rPr>
          <w:color w:val="auto"/>
          <w:lang w:val="uz-Cyrl-UZ"/>
        </w:rPr>
      </w:pPr>
      <w:r w:rsidRPr="00A11646">
        <w:rPr>
          <w:color w:val="auto"/>
          <w:lang w:val="uz-Cyrl-UZ"/>
        </w:rPr>
        <w:t xml:space="preserve">Таким образом, изучение частоты встречаемости ММ среди обследованных больных показало ее преобладание среди лиц женского пола в возрасте  от 40 до 70 лет, соотношение мужчин и женщин составило 1:1,14. </w:t>
      </w:r>
    </w:p>
    <w:p w:rsidR="00C328C9" w:rsidRPr="00A11646" w:rsidRDefault="00C328C9" w:rsidP="00C328C9">
      <w:pPr>
        <w:pStyle w:val="a3"/>
        <w:spacing w:line="360" w:lineRule="auto"/>
        <w:ind w:firstLine="708"/>
        <w:jc w:val="both"/>
        <w:rPr>
          <w:color w:val="auto"/>
          <w:lang w:val="uz-Cyrl-UZ"/>
        </w:rPr>
      </w:pPr>
      <w:r w:rsidRPr="00A11646">
        <w:rPr>
          <w:color w:val="auto"/>
          <w:lang w:val="uz-Cyrl-UZ"/>
        </w:rPr>
        <w:t>В диагностике ММ особое значение имеет определение иммунохимическиго варианта заболевания. У больных ММ в Узбекистане при первичной постановке диагноза чаще регистрировалась G - миелома (66,1%), а реже А - миелома (17,7%). Встречаемость ММ IgGκ по отношению к IgGλ составила 2,2:1, к IgAκ - 7:1, к IgAλ - 4:1 и к редким вариантам 2,8:1.  Среди больных ММ количество больных со II  стадией составило – 16,8%,   с III стадией - 83,2%.</w:t>
      </w:r>
    </w:p>
    <w:p w:rsidR="00C328C9" w:rsidRPr="00A11646" w:rsidRDefault="00C328C9" w:rsidP="00C328C9">
      <w:pPr>
        <w:spacing w:after="16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Среди клинических проявлений ММ, чаще регистрировались оссалгия (100%) и патологические переломы (81,5%). Наряду  с этим установлено наличие взаимосвязи между иммунохимическим вариантом ММ, уровнем гемоглобина, эритроцитов, тромбоцитов, СОЭ, количества плазмоцитов в костном мозге, уровнем общего белка и микроглобулинов, креатинина и мочевины с тяжестью клинических проявлений ММ.</w:t>
      </w:r>
    </w:p>
    <w:p w:rsidR="00C328C9" w:rsidRPr="00A11646" w:rsidRDefault="00C328C9" w:rsidP="00C328C9">
      <w:pPr>
        <w:spacing w:after="16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 xml:space="preserve"> Обобщая вышеприведенные данные мы определили, </w:t>
      </w:r>
      <w:bookmarkStart w:id="159" w:name="_Hlk7283768"/>
      <w:r w:rsidRPr="00A11646">
        <w:rPr>
          <w:rFonts w:ascii="Times New Roman" w:hAnsi="Times New Roman"/>
          <w:sz w:val="28"/>
          <w:szCs w:val="28"/>
          <w:lang w:val="uz-Cyrl-UZ"/>
        </w:rPr>
        <w:t xml:space="preserve">что неблагоприятными факторами прогноза является </w:t>
      </w:r>
      <w:r w:rsidRPr="00A11646">
        <w:rPr>
          <w:rFonts w:ascii="Times New Roman" w:eastAsia="Times New Roman" w:hAnsi="Times New Roman"/>
          <w:sz w:val="28"/>
          <w:szCs w:val="28"/>
        </w:rPr>
        <w:t>возраст больных ≥ 60 лет (p&lt;0,001), IgA иммунохимический вариант ММ (p&lt;0,001), уровень гемоглобина менее 100 г/л (p&lt;0,05),  количество общего белка ≥100 г/л, γ и β</w:t>
      </w:r>
      <w:r w:rsidRPr="00A11646">
        <w:rPr>
          <w:rFonts w:ascii="Times New Roman" w:eastAsia="Times New Roman" w:hAnsi="Times New Roman"/>
          <w:sz w:val="28"/>
          <w:szCs w:val="28"/>
          <w:vertAlign w:val="subscript"/>
        </w:rPr>
        <w:t>2</w:t>
      </w:r>
      <w:r w:rsidRPr="00A11646">
        <w:rPr>
          <w:rFonts w:ascii="Times New Roman" w:eastAsia="Times New Roman" w:hAnsi="Times New Roman"/>
          <w:sz w:val="28"/>
          <w:szCs w:val="28"/>
        </w:rPr>
        <w:t xml:space="preserve"> микроглобулинов ≥ </w:t>
      </w:r>
      <w:r w:rsidRPr="00A11646">
        <w:rPr>
          <w:rFonts w:ascii="Times New Roman" w:hAnsi="Times New Roman"/>
          <w:sz w:val="28"/>
          <w:szCs w:val="28"/>
        </w:rPr>
        <w:t>19% и 10%</w:t>
      </w:r>
      <w:r w:rsidRPr="00A11646">
        <w:rPr>
          <w:rFonts w:ascii="Times New Roman" w:eastAsia="Times New Roman" w:hAnsi="Times New Roman"/>
          <w:sz w:val="28"/>
          <w:szCs w:val="28"/>
        </w:rPr>
        <w:t xml:space="preserve"> (p&lt;0,05), креатинин в сыворотке крови ≥177 мкмоль/л (p&lt;0,001).  </w:t>
      </w:r>
      <w:bookmarkEnd w:id="159"/>
    </w:p>
    <w:p w:rsidR="00190E3E" w:rsidRPr="00A11646" w:rsidRDefault="00190E3E" w:rsidP="00190E3E">
      <w:pPr>
        <w:autoSpaceDE w:val="0"/>
        <w:autoSpaceDN w:val="0"/>
        <w:adjustRightInd w:val="0"/>
        <w:spacing w:after="0" w:line="360" w:lineRule="auto"/>
        <w:jc w:val="center"/>
        <w:rPr>
          <w:rFonts w:ascii="Times New Roman" w:eastAsia="Calibri" w:hAnsi="Times New Roman"/>
          <w:b/>
          <w:sz w:val="28"/>
          <w:szCs w:val="28"/>
        </w:rPr>
      </w:pPr>
      <w:r w:rsidRPr="00A11646">
        <w:rPr>
          <w:rFonts w:ascii="Times New Roman" w:eastAsia="Calibri" w:hAnsi="Times New Roman"/>
          <w:b/>
          <w:sz w:val="28"/>
          <w:szCs w:val="28"/>
        </w:rPr>
        <w:lastRenderedPageBreak/>
        <w:t xml:space="preserve">Глава </w:t>
      </w:r>
      <w:r w:rsidRPr="00A11646">
        <w:rPr>
          <w:rFonts w:ascii="Times New Roman" w:eastAsia="Calibri" w:hAnsi="Times New Roman"/>
          <w:b/>
          <w:sz w:val="28"/>
          <w:szCs w:val="28"/>
          <w:lang w:val="en-US"/>
        </w:rPr>
        <w:t>IV</w:t>
      </w:r>
      <w:r w:rsidRPr="00A11646">
        <w:rPr>
          <w:rFonts w:ascii="Times New Roman" w:eastAsia="Calibri" w:hAnsi="Times New Roman"/>
          <w:b/>
          <w:sz w:val="28"/>
          <w:szCs w:val="28"/>
        </w:rPr>
        <w:t>.</w:t>
      </w:r>
    </w:p>
    <w:p w:rsidR="00190E3E" w:rsidRPr="00A11646" w:rsidRDefault="00190E3E" w:rsidP="00190E3E">
      <w:pPr>
        <w:autoSpaceDE w:val="0"/>
        <w:autoSpaceDN w:val="0"/>
        <w:adjustRightInd w:val="0"/>
        <w:spacing w:after="0" w:line="360" w:lineRule="auto"/>
        <w:jc w:val="center"/>
        <w:rPr>
          <w:rFonts w:ascii="Times New Roman" w:eastAsia="Calibri" w:hAnsi="Times New Roman"/>
          <w:b/>
          <w:sz w:val="28"/>
          <w:szCs w:val="28"/>
          <w:lang w:val="uz-Cyrl-UZ"/>
        </w:rPr>
      </w:pPr>
      <w:r w:rsidRPr="00A11646">
        <w:rPr>
          <w:rFonts w:ascii="Times New Roman" w:eastAsia="Calibri" w:hAnsi="Times New Roman"/>
          <w:b/>
          <w:sz w:val="28"/>
          <w:szCs w:val="28"/>
          <w:lang w:val="uz-Cyrl-UZ"/>
        </w:rPr>
        <w:t>ОЦЕНКА ЭФФЕКТИВНОСТИ ЛЕЧЕНИЯ, ПРОГНОСТИЧЕСКИЕ ФАКТОРЫ И ВЫЖИВАЕМОСТЬ У БОЛЬНЫХ МНОЖЕСТВЕННОЙ МИЕЛОМОЙ</w:t>
      </w:r>
    </w:p>
    <w:p w:rsidR="00190E3E" w:rsidRPr="00A11646" w:rsidRDefault="00190E3E" w:rsidP="00190E3E">
      <w:pPr>
        <w:autoSpaceDE w:val="0"/>
        <w:autoSpaceDN w:val="0"/>
        <w:adjustRightInd w:val="0"/>
        <w:spacing w:after="0" w:line="360" w:lineRule="auto"/>
        <w:ind w:firstLine="708"/>
        <w:jc w:val="both"/>
        <w:rPr>
          <w:rFonts w:ascii="Times New Roman" w:eastAsia="Calibri" w:hAnsi="Times New Roman"/>
          <w:sz w:val="28"/>
          <w:szCs w:val="28"/>
        </w:rPr>
      </w:pPr>
      <w:r w:rsidRPr="00A11646">
        <w:rPr>
          <w:rFonts w:ascii="Times New Roman" w:eastAsia="Calibri" w:hAnsi="Times New Roman"/>
          <w:sz w:val="28"/>
          <w:szCs w:val="28"/>
          <w:lang w:val="uz-Cyrl-UZ"/>
        </w:rPr>
        <w:t>Эффективность проведенных методов лечения оценивалась</w:t>
      </w:r>
      <w:r w:rsidR="00B41A3A">
        <w:rPr>
          <w:rFonts w:ascii="Times New Roman" w:eastAsia="Calibri" w:hAnsi="Times New Roman"/>
          <w:sz w:val="28"/>
          <w:szCs w:val="28"/>
          <w:lang w:val="uz-Cyrl-UZ"/>
        </w:rPr>
        <w:t xml:space="preserve"> </w:t>
      </w:r>
      <w:r w:rsidRPr="00A11646">
        <w:rPr>
          <w:rFonts w:ascii="Times New Roman" w:eastAsia="Calibri" w:hAnsi="Times New Roman"/>
          <w:sz w:val="28"/>
          <w:szCs w:val="28"/>
        </w:rPr>
        <w:t>путем сравнения состояния общего клинического</w:t>
      </w:r>
      <w:r w:rsidR="00B41A3A">
        <w:rPr>
          <w:rFonts w:ascii="Times New Roman" w:eastAsia="Calibri" w:hAnsi="Times New Roman"/>
          <w:sz w:val="28"/>
          <w:szCs w:val="28"/>
          <w:lang w:val="uz-Cyrl-UZ"/>
        </w:rPr>
        <w:t xml:space="preserve"> </w:t>
      </w:r>
      <w:r w:rsidRPr="00A11646">
        <w:rPr>
          <w:rFonts w:ascii="Times New Roman" w:eastAsia="Calibri" w:hAnsi="Times New Roman"/>
          <w:sz w:val="28"/>
          <w:szCs w:val="28"/>
        </w:rPr>
        <w:t>статуса, показателей периферической крови и костного мозга, биохимического анализа крови и мочи в динамике до  и после лечения, определяя при этом факторы неблагоприятно влияющих на длительность БРВ и ОВ больных ММ (</w:t>
      </w:r>
      <w:r w:rsidRPr="00A11646">
        <w:rPr>
          <w:rFonts w:ascii="Times New Roman" w:eastAsia="Calibri" w:hAnsi="Times New Roman"/>
          <w:sz w:val="28"/>
          <w:szCs w:val="28"/>
          <w:lang w:val="en-US"/>
        </w:rPr>
        <w:t>n</w:t>
      </w:r>
      <w:r w:rsidRPr="00A11646">
        <w:rPr>
          <w:rFonts w:ascii="Times New Roman" w:eastAsia="Calibri" w:hAnsi="Times New Roman"/>
          <w:sz w:val="28"/>
          <w:szCs w:val="28"/>
        </w:rPr>
        <w:t xml:space="preserve">=107). </w:t>
      </w:r>
    </w:p>
    <w:p w:rsidR="00190E3E" w:rsidRPr="00A11646" w:rsidRDefault="00190E3E" w:rsidP="00190E3E">
      <w:pPr>
        <w:autoSpaceDE w:val="0"/>
        <w:autoSpaceDN w:val="0"/>
        <w:adjustRightInd w:val="0"/>
        <w:spacing w:after="0" w:line="360" w:lineRule="auto"/>
        <w:ind w:firstLine="708"/>
        <w:jc w:val="both"/>
        <w:rPr>
          <w:rFonts w:ascii="Times New Roman" w:eastAsia="Calibri" w:hAnsi="Times New Roman"/>
          <w:sz w:val="28"/>
          <w:szCs w:val="28"/>
        </w:rPr>
      </w:pPr>
      <w:r w:rsidRPr="00A11646">
        <w:rPr>
          <w:rFonts w:ascii="Times New Roman" w:eastAsia="Calibri" w:hAnsi="Times New Roman"/>
          <w:sz w:val="28"/>
          <w:szCs w:val="28"/>
        </w:rPr>
        <w:t>Как указывалось в главе «Материалы и методы» больные ММ в соответствие с методом лечения разделены на две подгруппы: «А» подгруппа (</w:t>
      </w:r>
      <w:r w:rsidRPr="00A11646">
        <w:rPr>
          <w:rFonts w:ascii="Times New Roman" w:eastAsia="Calibri" w:hAnsi="Times New Roman"/>
          <w:sz w:val="28"/>
          <w:szCs w:val="28"/>
          <w:lang w:val="en-US"/>
        </w:rPr>
        <w:t>n</w:t>
      </w:r>
      <w:r w:rsidRPr="00A11646">
        <w:rPr>
          <w:rFonts w:ascii="Times New Roman" w:eastAsia="Calibri" w:hAnsi="Times New Roman"/>
          <w:sz w:val="28"/>
          <w:szCs w:val="28"/>
        </w:rPr>
        <w:t xml:space="preserve">=87) больных получала </w:t>
      </w:r>
      <w:bookmarkStart w:id="160" w:name="_Hlk6147963"/>
      <w:r w:rsidRPr="00A11646">
        <w:rPr>
          <w:rFonts w:ascii="Times New Roman" w:eastAsia="Calibri" w:hAnsi="Times New Roman"/>
          <w:sz w:val="28"/>
          <w:szCs w:val="28"/>
        </w:rPr>
        <w:t xml:space="preserve">4 курса ПХТ по схеме </w:t>
      </w:r>
      <w:r w:rsidRPr="00A11646">
        <w:rPr>
          <w:rFonts w:ascii="Times New Roman" w:eastAsia="Calibri" w:hAnsi="Times New Roman"/>
          <w:sz w:val="28"/>
          <w:szCs w:val="28"/>
          <w:lang w:val="en-US"/>
        </w:rPr>
        <w:t>VCD</w:t>
      </w:r>
      <w:bookmarkEnd w:id="160"/>
      <w:r w:rsidR="00B41A3A">
        <w:rPr>
          <w:rFonts w:ascii="Times New Roman" w:eastAsia="Calibri" w:hAnsi="Times New Roman"/>
          <w:sz w:val="28"/>
          <w:szCs w:val="28"/>
          <w:lang w:val="uz-Cyrl-UZ"/>
        </w:rPr>
        <w:t xml:space="preserve"> </w:t>
      </w:r>
      <w:r w:rsidRPr="00A11646">
        <w:rPr>
          <w:rFonts w:ascii="Times New Roman" w:eastAsia="Calibri" w:hAnsi="Times New Roman"/>
          <w:sz w:val="28"/>
          <w:szCs w:val="28"/>
        </w:rPr>
        <w:t>и «Б» подгруппа (</w:t>
      </w:r>
      <w:r w:rsidRPr="00A11646">
        <w:rPr>
          <w:rFonts w:ascii="Times New Roman" w:eastAsia="Calibri" w:hAnsi="Times New Roman"/>
          <w:sz w:val="28"/>
          <w:szCs w:val="28"/>
          <w:lang w:val="en-US"/>
        </w:rPr>
        <w:t>n</w:t>
      </w:r>
      <w:r w:rsidRPr="00A11646">
        <w:rPr>
          <w:rFonts w:ascii="Times New Roman" w:eastAsia="Calibri" w:hAnsi="Times New Roman"/>
          <w:sz w:val="28"/>
          <w:szCs w:val="28"/>
        </w:rPr>
        <w:t xml:space="preserve">=20) больных получала 4 курса ПХТ по схеме </w:t>
      </w:r>
      <w:r w:rsidRPr="00A11646">
        <w:rPr>
          <w:rFonts w:ascii="Times New Roman" w:eastAsia="Calibri" w:hAnsi="Times New Roman"/>
          <w:sz w:val="28"/>
          <w:szCs w:val="28"/>
          <w:lang w:val="en-US"/>
        </w:rPr>
        <w:t>VCD</w:t>
      </w:r>
      <w:r w:rsidRPr="00A11646">
        <w:rPr>
          <w:rFonts w:ascii="Times New Roman" w:eastAsia="Calibri" w:hAnsi="Times New Roman"/>
          <w:sz w:val="28"/>
          <w:szCs w:val="28"/>
        </w:rPr>
        <w:t xml:space="preserve">+аутоТГСК. </w:t>
      </w:r>
    </w:p>
    <w:p w:rsidR="00190E3E" w:rsidRPr="00A11646" w:rsidRDefault="00190E3E" w:rsidP="00190E3E">
      <w:pPr>
        <w:autoSpaceDE w:val="0"/>
        <w:autoSpaceDN w:val="0"/>
        <w:adjustRightInd w:val="0"/>
        <w:spacing w:after="0" w:line="360" w:lineRule="auto"/>
        <w:ind w:firstLine="708"/>
        <w:jc w:val="both"/>
        <w:rPr>
          <w:rFonts w:ascii="Times New Roman" w:eastAsia="Calibri" w:hAnsi="Times New Roman"/>
          <w:sz w:val="28"/>
          <w:szCs w:val="28"/>
        </w:rPr>
      </w:pPr>
      <w:r w:rsidRPr="00A11646">
        <w:rPr>
          <w:rFonts w:ascii="Times New Roman" w:eastAsia="Calibri" w:hAnsi="Times New Roman"/>
          <w:sz w:val="28"/>
          <w:szCs w:val="28"/>
        </w:rPr>
        <w:t>С целью оценки эффективности лечения проводилось динамическое наблюдение за больными с проведением всех методов исследования через 1 месяц, 3 месяца, 6 месяцев, а затем каждые 12 месяцев в течение жизни пациентов.</w:t>
      </w:r>
    </w:p>
    <w:p w:rsidR="00190E3E" w:rsidRPr="00A11646" w:rsidRDefault="00190E3E" w:rsidP="00190E3E">
      <w:pPr>
        <w:autoSpaceDE w:val="0"/>
        <w:autoSpaceDN w:val="0"/>
        <w:adjustRightInd w:val="0"/>
        <w:spacing w:after="0" w:line="360" w:lineRule="auto"/>
        <w:ind w:firstLine="708"/>
        <w:jc w:val="both"/>
        <w:rPr>
          <w:rFonts w:ascii="Times New Roman" w:eastAsia="Calibri" w:hAnsi="Times New Roman"/>
          <w:sz w:val="28"/>
          <w:szCs w:val="28"/>
        </w:rPr>
      </w:pPr>
    </w:p>
    <w:p w:rsidR="00190E3E" w:rsidRPr="00A11646" w:rsidRDefault="00190E3E" w:rsidP="00190E3E">
      <w:pPr>
        <w:autoSpaceDE w:val="0"/>
        <w:autoSpaceDN w:val="0"/>
        <w:adjustRightInd w:val="0"/>
        <w:spacing w:after="0" w:line="360" w:lineRule="auto"/>
        <w:jc w:val="center"/>
        <w:rPr>
          <w:rFonts w:ascii="Times New Roman" w:eastAsia="Calibri" w:hAnsi="Times New Roman"/>
          <w:b/>
          <w:sz w:val="28"/>
          <w:szCs w:val="28"/>
          <w:lang w:val="uz-Cyrl-UZ"/>
        </w:rPr>
      </w:pPr>
      <w:r w:rsidRPr="00A11646">
        <w:rPr>
          <w:rFonts w:ascii="Times New Roman" w:eastAsia="Calibri" w:hAnsi="Times New Roman"/>
          <w:b/>
          <w:sz w:val="28"/>
          <w:szCs w:val="28"/>
        </w:rPr>
        <w:t>§4.1. Состояние клинического статуса у больных</w:t>
      </w:r>
      <w:r w:rsidR="00B41A3A">
        <w:rPr>
          <w:rFonts w:ascii="Times New Roman" w:eastAsia="Calibri" w:hAnsi="Times New Roman"/>
          <w:b/>
          <w:sz w:val="28"/>
          <w:szCs w:val="28"/>
          <w:lang w:val="uz-Cyrl-UZ"/>
        </w:rPr>
        <w:t xml:space="preserve"> </w:t>
      </w:r>
      <w:r w:rsidRPr="00A11646">
        <w:rPr>
          <w:rFonts w:ascii="Times New Roman" w:eastAsia="Calibri" w:hAnsi="Times New Roman"/>
          <w:b/>
          <w:sz w:val="28"/>
          <w:szCs w:val="28"/>
          <w:lang w:val="uz-Cyrl-UZ"/>
        </w:rPr>
        <w:t xml:space="preserve">ММ </w:t>
      </w:r>
    </w:p>
    <w:p w:rsidR="00190E3E" w:rsidRPr="00A11646" w:rsidRDefault="00190E3E" w:rsidP="00190E3E">
      <w:pPr>
        <w:autoSpaceDE w:val="0"/>
        <w:autoSpaceDN w:val="0"/>
        <w:adjustRightInd w:val="0"/>
        <w:spacing w:after="0" w:line="360" w:lineRule="auto"/>
        <w:jc w:val="center"/>
        <w:rPr>
          <w:rFonts w:ascii="Times New Roman" w:eastAsia="Calibri" w:hAnsi="Times New Roman"/>
          <w:b/>
          <w:sz w:val="28"/>
          <w:szCs w:val="28"/>
        </w:rPr>
      </w:pPr>
      <w:r w:rsidRPr="00A11646">
        <w:rPr>
          <w:rFonts w:ascii="Times New Roman" w:eastAsia="Calibri" w:hAnsi="Times New Roman"/>
          <w:b/>
          <w:sz w:val="28"/>
          <w:szCs w:val="28"/>
        </w:rPr>
        <w:t>после лечения</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П</w:t>
      </w:r>
      <w:r w:rsidRPr="00A11646">
        <w:rPr>
          <w:color w:val="auto"/>
        </w:rPr>
        <w:t xml:space="preserve">роведено клиническое обследование </w:t>
      </w:r>
      <w:r w:rsidRPr="00A11646">
        <w:rPr>
          <w:color w:val="auto"/>
          <w:lang w:val="uz-Cyrl-UZ"/>
        </w:rPr>
        <w:t>107 (основная группа: мужчин - 52, женщин – 55)</w:t>
      </w:r>
      <w:r w:rsidRPr="00A11646">
        <w:rPr>
          <w:color w:val="auto"/>
        </w:rPr>
        <w:t xml:space="preserve"> больных </w:t>
      </w:r>
      <w:r w:rsidRPr="00A11646">
        <w:rPr>
          <w:color w:val="auto"/>
          <w:lang w:val="uz-Cyrl-UZ"/>
        </w:rPr>
        <w:t>ММ</w:t>
      </w:r>
      <w:r w:rsidR="00B41A3A">
        <w:rPr>
          <w:color w:val="auto"/>
          <w:lang w:val="uz-Cyrl-UZ"/>
        </w:rPr>
        <w:t xml:space="preserve"> </w:t>
      </w:r>
      <w:r w:rsidRPr="00A11646">
        <w:rPr>
          <w:color w:val="auto"/>
          <w:lang w:val="uz-Cyrl-UZ"/>
        </w:rPr>
        <w:t xml:space="preserve">после лечения: </w:t>
      </w:r>
      <w:r w:rsidRPr="00A11646">
        <w:rPr>
          <w:rFonts w:eastAsia="Calibri"/>
          <w:color w:val="auto"/>
        </w:rPr>
        <w:t>«А» подгруппы (</w:t>
      </w:r>
      <w:r w:rsidRPr="00A11646">
        <w:rPr>
          <w:rFonts w:eastAsia="Calibri"/>
          <w:color w:val="auto"/>
          <w:lang w:val="en-US"/>
        </w:rPr>
        <w:t>n</w:t>
      </w:r>
      <w:r w:rsidRPr="00A11646">
        <w:rPr>
          <w:rFonts w:eastAsia="Calibri"/>
          <w:color w:val="auto"/>
        </w:rPr>
        <w:t xml:space="preserve">=87 (81,3%), мужчин-38 (35,5%), женщин 49 (45,8%) </w:t>
      </w:r>
      <w:r w:rsidRPr="00A11646">
        <w:rPr>
          <w:rFonts w:eastAsia="Calibri"/>
          <w:color w:val="auto"/>
          <w:lang w:val="uz-Cyrl-UZ"/>
        </w:rPr>
        <w:t xml:space="preserve">и </w:t>
      </w:r>
      <w:r w:rsidRPr="00A11646">
        <w:rPr>
          <w:rFonts w:eastAsia="Calibri"/>
          <w:color w:val="auto"/>
        </w:rPr>
        <w:t>«</w:t>
      </w:r>
      <w:r w:rsidRPr="00A11646">
        <w:rPr>
          <w:rFonts w:eastAsia="Calibri"/>
          <w:color w:val="auto"/>
          <w:lang w:val="uz-Cyrl-UZ"/>
        </w:rPr>
        <w:t>Б</w:t>
      </w:r>
      <w:r w:rsidRPr="00A11646">
        <w:rPr>
          <w:rFonts w:eastAsia="Calibri"/>
          <w:color w:val="auto"/>
        </w:rPr>
        <w:t>» (</w:t>
      </w:r>
      <w:r w:rsidRPr="00A11646">
        <w:rPr>
          <w:rFonts w:eastAsia="Calibri"/>
          <w:color w:val="auto"/>
          <w:lang w:val="en-US"/>
        </w:rPr>
        <w:t>n</w:t>
      </w:r>
      <w:r w:rsidRPr="00A11646">
        <w:rPr>
          <w:rFonts w:eastAsia="Calibri"/>
          <w:color w:val="auto"/>
        </w:rPr>
        <w:t>=20 (18,7%, мужчин-14 (13,1%), женщин-6 (5,6%))(рис. 4.1.1.).</w:t>
      </w:r>
    </w:p>
    <w:p w:rsidR="00190E3E" w:rsidRPr="00A11646" w:rsidRDefault="00190E3E" w:rsidP="00190E3E">
      <w:pPr>
        <w:pStyle w:val="a3"/>
        <w:spacing w:line="360" w:lineRule="auto"/>
        <w:ind w:firstLine="709"/>
        <w:jc w:val="both"/>
        <w:rPr>
          <w:rFonts w:eastAsia="Calibri"/>
          <w:color w:val="auto"/>
        </w:rPr>
      </w:pPr>
      <w:r w:rsidRPr="00A11646">
        <w:rPr>
          <w:color w:val="auto"/>
          <w:lang w:val="uz-Cyrl-UZ"/>
        </w:rPr>
        <w:t xml:space="preserve">Среди основной группы больных со </w:t>
      </w:r>
      <w:r w:rsidRPr="00A11646">
        <w:rPr>
          <w:rFonts w:eastAsia="Calibri"/>
          <w:color w:val="auto"/>
          <w:lang w:val="en-US"/>
        </w:rPr>
        <w:t>II</w:t>
      </w:r>
      <w:r w:rsidRPr="00A11646">
        <w:rPr>
          <w:rFonts w:eastAsia="Calibri"/>
          <w:color w:val="auto"/>
        </w:rPr>
        <w:t xml:space="preserve"> «А» стадией составило 9 (8,4%), со </w:t>
      </w:r>
      <w:r w:rsidRPr="00A11646">
        <w:rPr>
          <w:rFonts w:eastAsia="Calibri"/>
          <w:color w:val="auto"/>
          <w:lang w:val="en-US"/>
        </w:rPr>
        <w:t>II</w:t>
      </w:r>
      <w:r w:rsidRPr="00A11646">
        <w:rPr>
          <w:rFonts w:eastAsia="Calibri"/>
          <w:color w:val="auto"/>
        </w:rPr>
        <w:t xml:space="preserve"> «В» стадией – 10 (9,3%); с  </w:t>
      </w:r>
      <w:r w:rsidRPr="00A11646">
        <w:rPr>
          <w:rFonts w:eastAsia="Calibri"/>
          <w:color w:val="auto"/>
          <w:lang w:val="en-US"/>
        </w:rPr>
        <w:t>III</w:t>
      </w:r>
      <w:r w:rsidRPr="00A11646">
        <w:rPr>
          <w:rFonts w:eastAsia="Calibri"/>
          <w:color w:val="auto"/>
        </w:rPr>
        <w:t xml:space="preserve"> «А» стадией - 43(40,2%) и  с </w:t>
      </w:r>
      <w:r w:rsidRPr="00A11646">
        <w:rPr>
          <w:rFonts w:eastAsia="Calibri"/>
          <w:color w:val="auto"/>
          <w:lang w:val="en-US"/>
        </w:rPr>
        <w:t>III</w:t>
      </w:r>
      <w:r w:rsidRPr="00A11646">
        <w:rPr>
          <w:rFonts w:eastAsia="Calibri"/>
          <w:color w:val="auto"/>
        </w:rPr>
        <w:t xml:space="preserve"> «В» - 45 (42,1%) лиц (рис.4.1.2.).</w:t>
      </w:r>
    </w:p>
    <w:p w:rsidR="00190E3E" w:rsidRPr="00A11646" w:rsidRDefault="00190E3E" w:rsidP="00190E3E">
      <w:pPr>
        <w:pStyle w:val="a3"/>
        <w:spacing w:line="360" w:lineRule="auto"/>
        <w:ind w:firstLine="709"/>
        <w:jc w:val="both"/>
        <w:rPr>
          <w:rFonts w:eastAsia="Calibri"/>
          <w:color w:val="auto"/>
        </w:rPr>
      </w:pPr>
      <w:r w:rsidRPr="00A11646">
        <w:rPr>
          <w:rFonts w:eastAsia="Calibri"/>
          <w:noProof/>
          <w:color w:val="auto"/>
          <w:lang w:eastAsia="ru-RU"/>
        </w:rPr>
        <w:lastRenderedPageBreak/>
        <w:drawing>
          <wp:inline distT="0" distB="0" distL="0" distR="0">
            <wp:extent cx="2349500" cy="2483610"/>
            <wp:effectExtent l="0" t="0" r="12700" b="1206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11646">
        <w:rPr>
          <w:rFonts w:eastAsia="Calibri"/>
          <w:noProof/>
          <w:color w:val="auto"/>
          <w:lang w:eastAsia="ru-RU"/>
        </w:rPr>
        <w:drawing>
          <wp:inline distT="0" distB="0" distL="0" distR="0">
            <wp:extent cx="2349500" cy="2483610"/>
            <wp:effectExtent l="0" t="0" r="12700" b="1206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90E3E" w:rsidRPr="00A11646" w:rsidRDefault="00190E3E" w:rsidP="00190E3E">
      <w:pPr>
        <w:pStyle w:val="a3"/>
        <w:spacing w:line="360" w:lineRule="auto"/>
        <w:ind w:firstLine="709"/>
        <w:jc w:val="both"/>
        <w:rPr>
          <w:rFonts w:eastAsia="Calibri"/>
          <w:b/>
          <w:color w:val="auto"/>
        </w:rPr>
      </w:pPr>
      <w:r w:rsidRPr="00A11646">
        <w:rPr>
          <w:rFonts w:eastAsia="Calibri"/>
          <w:b/>
          <w:color w:val="auto"/>
        </w:rPr>
        <w:t>Рис. 4.1.2. Распределение больных по подгруппам и половой принадлежности</w:t>
      </w:r>
    </w:p>
    <w:p w:rsidR="00190E3E" w:rsidRPr="00A11646" w:rsidRDefault="00190E3E" w:rsidP="00190E3E">
      <w:pPr>
        <w:pStyle w:val="a3"/>
        <w:spacing w:line="360" w:lineRule="auto"/>
        <w:ind w:firstLine="709"/>
        <w:jc w:val="both"/>
        <w:rPr>
          <w:rFonts w:eastAsia="Calibri"/>
          <w:color w:val="auto"/>
        </w:rPr>
      </w:pPr>
    </w:p>
    <w:p w:rsidR="00190E3E" w:rsidRPr="00A11646" w:rsidRDefault="00190E3E" w:rsidP="00190E3E">
      <w:pPr>
        <w:pStyle w:val="a3"/>
        <w:spacing w:line="360" w:lineRule="auto"/>
        <w:ind w:firstLine="709"/>
        <w:jc w:val="both"/>
        <w:rPr>
          <w:rFonts w:eastAsia="Calibri"/>
          <w:color w:val="auto"/>
        </w:rPr>
      </w:pPr>
      <w:r w:rsidRPr="00A11646">
        <w:rPr>
          <w:rFonts w:eastAsia="Calibri"/>
          <w:noProof/>
          <w:color w:val="auto"/>
          <w:lang w:eastAsia="ru-RU"/>
        </w:rPr>
        <w:drawing>
          <wp:inline distT="0" distB="0" distL="0" distR="0">
            <wp:extent cx="5486400" cy="3200400"/>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0E3E" w:rsidRPr="00A11646" w:rsidRDefault="00190E3E" w:rsidP="00190E3E">
      <w:pPr>
        <w:pStyle w:val="a3"/>
        <w:spacing w:line="360" w:lineRule="auto"/>
        <w:ind w:firstLine="709"/>
        <w:jc w:val="both"/>
        <w:rPr>
          <w:rFonts w:eastAsia="Calibri"/>
          <w:b/>
          <w:color w:val="auto"/>
        </w:rPr>
      </w:pPr>
      <w:r w:rsidRPr="00A11646">
        <w:rPr>
          <w:rFonts w:eastAsia="Calibri"/>
          <w:b/>
          <w:color w:val="auto"/>
        </w:rPr>
        <w:t xml:space="preserve">Рис. 4.1.2. Распределение больных ММ в основной группе и подгруппах по стадиям заболевания </w:t>
      </w:r>
      <w:r w:rsidRPr="00A11646">
        <w:rPr>
          <w:rFonts w:eastAsia="Calibri"/>
          <w:b/>
          <w:color w:val="auto"/>
          <w:lang w:val="uz-Cyrl-UZ"/>
        </w:rPr>
        <w:t xml:space="preserve">(по </w:t>
      </w:r>
      <w:r w:rsidRPr="00A11646">
        <w:rPr>
          <w:rFonts w:eastAsia="Calibri"/>
          <w:b/>
          <w:color w:val="auto"/>
        </w:rPr>
        <w:t>G.M. Durie и S.E. Salmon (1975))</w:t>
      </w:r>
      <w:r w:rsidRPr="00A11646">
        <w:rPr>
          <w:rFonts w:eastAsia="Calibri"/>
          <w:b/>
          <w:color w:val="auto"/>
          <w:lang w:val="uz-Cyrl-UZ"/>
        </w:rPr>
        <w:t>.</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Наряду с вышеприведенными данными далее проводили распределение в соответствие с возрастом и иммунохимическими вариантами больных ММ. Соотношение этого распределения также соответствовало тенденции, как и до лечения при первичном обращении больных</w:t>
      </w:r>
      <w:r w:rsidRPr="00A11646">
        <w:rPr>
          <w:rFonts w:ascii="Times New Roman" w:hAnsi="Times New Roman"/>
          <w:sz w:val="28"/>
          <w:szCs w:val="28"/>
          <w:lang w:val="uz-Cyrl-UZ"/>
        </w:rPr>
        <w:t>.</w:t>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sz w:val="28"/>
          <w:szCs w:val="28"/>
          <w:lang w:val="uz-Cyrl-UZ"/>
        </w:rPr>
        <w:lastRenderedPageBreak/>
        <w:t>В частности количество больных с IgG κ- вариантом составило47 (43,9%; мужчин –23, женщин –24), с IgG λ-вариантом - 24 (22,4%, мужчин –12, женщин – 12), с IgA κ-вариантом- 6 (5,6%, мужчин – 3, женщин –3), с IgА λ-вариантом - 14 (13,1%, мужчин – 8, женщин - 6), с редкими вариантами -16 (15,0%, мужчин - 6, женщин - 10) больных.</w:t>
      </w:r>
    </w:p>
    <w:p w:rsidR="00190E3E" w:rsidRPr="00A11646" w:rsidRDefault="00190E3E" w:rsidP="00190E3E">
      <w:pPr>
        <w:autoSpaceDE w:val="0"/>
        <w:autoSpaceDN w:val="0"/>
        <w:adjustRightInd w:val="0"/>
        <w:spacing w:after="0" w:line="360" w:lineRule="auto"/>
        <w:jc w:val="both"/>
        <w:rPr>
          <w:rFonts w:ascii="Times New Roman" w:hAnsi="Times New Roman"/>
          <w:sz w:val="28"/>
          <w:szCs w:val="28"/>
          <w:lang w:val="uz-Cyrl-UZ"/>
        </w:rPr>
      </w:pPr>
      <w:r w:rsidRPr="00A11646">
        <w:rPr>
          <w:rFonts w:ascii="Times New Roman" w:hAnsi="Times New Roman"/>
          <w:sz w:val="28"/>
          <w:szCs w:val="28"/>
          <w:lang w:val="uz-Cyrl-UZ"/>
        </w:rPr>
        <w:tab/>
        <w:t>В зависимости от возрастной категории распределение  иммунохимических вариантов ММ представлено на рис. 4.1.3.</w:t>
      </w:r>
    </w:p>
    <w:p w:rsidR="00190E3E" w:rsidRPr="00A11646" w:rsidRDefault="00190E3E" w:rsidP="00190E3E">
      <w:pPr>
        <w:autoSpaceDE w:val="0"/>
        <w:autoSpaceDN w:val="0"/>
        <w:adjustRightInd w:val="0"/>
        <w:spacing w:after="0" w:line="360" w:lineRule="auto"/>
        <w:jc w:val="right"/>
        <w:rPr>
          <w:rFonts w:ascii="Times New Roman" w:hAnsi="Times New Roman"/>
          <w:sz w:val="28"/>
          <w:szCs w:val="28"/>
          <w:lang w:val="uz-Cyrl-UZ"/>
        </w:rPr>
      </w:pPr>
    </w:p>
    <w:p w:rsidR="00190E3E" w:rsidRPr="00A11646" w:rsidRDefault="00190E3E" w:rsidP="00190E3E">
      <w:pPr>
        <w:autoSpaceDE w:val="0"/>
        <w:autoSpaceDN w:val="0"/>
        <w:adjustRightInd w:val="0"/>
        <w:spacing w:after="0" w:line="360" w:lineRule="auto"/>
        <w:jc w:val="right"/>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0E3E" w:rsidRPr="00A11646" w:rsidRDefault="00190E3E" w:rsidP="00190E3E">
      <w:pPr>
        <w:autoSpaceDE w:val="0"/>
        <w:autoSpaceDN w:val="0"/>
        <w:adjustRightInd w:val="0"/>
        <w:spacing w:after="0" w:line="360" w:lineRule="auto"/>
        <w:jc w:val="both"/>
        <w:rPr>
          <w:rFonts w:ascii="Times New Roman" w:hAnsi="Times New Roman"/>
          <w:b/>
          <w:sz w:val="28"/>
          <w:szCs w:val="28"/>
          <w:lang w:val="uz-Cyrl-UZ"/>
        </w:rPr>
      </w:pPr>
      <w:r w:rsidRPr="00A11646">
        <w:rPr>
          <w:rFonts w:ascii="Times New Roman" w:hAnsi="Times New Roman"/>
          <w:sz w:val="28"/>
          <w:szCs w:val="28"/>
          <w:lang w:val="uz-Cyrl-UZ"/>
        </w:rPr>
        <w:tab/>
      </w:r>
      <w:r w:rsidRPr="00A11646">
        <w:rPr>
          <w:rFonts w:ascii="Times New Roman" w:hAnsi="Times New Roman"/>
          <w:b/>
          <w:sz w:val="28"/>
          <w:szCs w:val="28"/>
          <w:lang w:val="uz-Cyrl-UZ"/>
        </w:rPr>
        <w:t>Рис. 4.1.3. Распределени</w:t>
      </w:r>
      <w:r w:rsidR="00237C4B">
        <w:rPr>
          <w:rFonts w:ascii="Times New Roman" w:hAnsi="Times New Roman"/>
          <w:b/>
          <w:sz w:val="28"/>
          <w:szCs w:val="28"/>
          <w:lang w:val="uz-Cyrl-UZ"/>
        </w:rPr>
        <w:t>е</w:t>
      </w:r>
      <w:r w:rsidRPr="00A11646">
        <w:rPr>
          <w:rFonts w:ascii="Times New Roman" w:hAnsi="Times New Roman"/>
          <w:b/>
          <w:sz w:val="28"/>
          <w:szCs w:val="28"/>
          <w:lang w:val="uz-Cyrl-UZ"/>
        </w:rPr>
        <w:t xml:space="preserve"> иммунохимических вариантов ММ в зависимости от возрастной категории в основной группе.</w:t>
      </w:r>
    </w:p>
    <w:p w:rsidR="00190E3E" w:rsidRPr="00A11646" w:rsidRDefault="00190E3E" w:rsidP="00190E3E">
      <w:pPr>
        <w:autoSpaceDE w:val="0"/>
        <w:autoSpaceDN w:val="0"/>
        <w:adjustRightInd w:val="0"/>
        <w:spacing w:after="0" w:line="360" w:lineRule="auto"/>
        <w:jc w:val="both"/>
        <w:rPr>
          <w:rFonts w:ascii="Times New Roman" w:hAnsi="Times New Roman"/>
          <w:sz w:val="28"/>
          <w:szCs w:val="28"/>
          <w:lang w:val="uz-Cyrl-UZ"/>
        </w:rPr>
      </w:pPr>
      <w:r w:rsidRPr="00A11646">
        <w:rPr>
          <w:rFonts w:ascii="Times New Roman" w:hAnsi="Times New Roman"/>
          <w:sz w:val="28"/>
          <w:szCs w:val="28"/>
          <w:lang w:val="uz-Cyrl-UZ"/>
        </w:rPr>
        <w:tab/>
        <w:t>Данные распределениябольных по иммунохимическим вариантам в зависимости от возрастной категории в “А” и “Б” подгруппах представлены в табл. 4.1.1. Распределение больных в “А” подгруппе в основном приходиться на  возраст от 41 до 70 лет, а подгруппе “Б” на возраст от 40 до 60 лет, при этом медиана возраста в подгруппах составила 57,3±2,2 лет и 47,7±1,8 лет, соответственно.</w:t>
      </w:r>
    </w:p>
    <w:p w:rsidR="00190E3E" w:rsidRPr="00A11646" w:rsidRDefault="00190E3E" w:rsidP="00190E3E">
      <w:pPr>
        <w:autoSpaceDE w:val="0"/>
        <w:autoSpaceDN w:val="0"/>
        <w:adjustRightInd w:val="0"/>
        <w:spacing w:after="0" w:line="360" w:lineRule="auto"/>
        <w:jc w:val="right"/>
        <w:rPr>
          <w:rFonts w:ascii="Times New Roman" w:hAnsi="Times New Roman"/>
          <w:b/>
          <w:sz w:val="28"/>
          <w:szCs w:val="28"/>
          <w:lang w:val="uz-Cyrl-UZ"/>
        </w:rPr>
      </w:pPr>
    </w:p>
    <w:p w:rsidR="00190E3E" w:rsidRPr="00A11646" w:rsidRDefault="00190E3E" w:rsidP="00190E3E">
      <w:pPr>
        <w:autoSpaceDE w:val="0"/>
        <w:autoSpaceDN w:val="0"/>
        <w:adjustRightInd w:val="0"/>
        <w:spacing w:after="0" w:line="360" w:lineRule="auto"/>
        <w:jc w:val="right"/>
        <w:rPr>
          <w:rFonts w:ascii="Times New Roman" w:hAnsi="Times New Roman"/>
          <w:b/>
          <w:sz w:val="28"/>
          <w:szCs w:val="28"/>
          <w:lang w:val="uz-Cyrl-UZ"/>
        </w:rPr>
      </w:pPr>
    </w:p>
    <w:p w:rsidR="00190E3E" w:rsidRPr="00A11646" w:rsidRDefault="00190E3E" w:rsidP="00190E3E">
      <w:pPr>
        <w:autoSpaceDE w:val="0"/>
        <w:autoSpaceDN w:val="0"/>
        <w:adjustRightInd w:val="0"/>
        <w:spacing w:after="0" w:line="360" w:lineRule="auto"/>
        <w:jc w:val="right"/>
        <w:rPr>
          <w:rFonts w:ascii="Times New Roman" w:hAnsi="Times New Roman"/>
          <w:b/>
          <w:sz w:val="28"/>
          <w:szCs w:val="28"/>
          <w:lang w:val="uz-Cyrl-UZ"/>
        </w:rPr>
      </w:pPr>
    </w:p>
    <w:p w:rsidR="00190E3E" w:rsidRPr="00A11646" w:rsidRDefault="00190E3E" w:rsidP="00190E3E">
      <w:pPr>
        <w:autoSpaceDE w:val="0"/>
        <w:autoSpaceDN w:val="0"/>
        <w:adjustRightInd w:val="0"/>
        <w:spacing w:after="0" w:line="360" w:lineRule="auto"/>
        <w:jc w:val="right"/>
        <w:rPr>
          <w:rFonts w:ascii="Times New Roman" w:hAnsi="Times New Roman"/>
          <w:b/>
          <w:sz w:val="28"/>
          <w:szCs w:val="28"/>
          <w:lang w:val="uz-Cyrl-UZ"/>
        </w:rPr>
      </w:pPr>
      <w:r w:rsidRPr="00A11646">
        <w:rPr>
          <w:rFonts w:ascii="Times New Roman" w:hAnsi="Times New Roman"/>
          <w:b/>
          <w:sz w:val="28"/>
          <w:szCs w:val="28"/>
          <w:lang w:val="uz-Cyrl-UZ"/>
        </w:rPr>
        <w:lastRenderedPageBreak/>
        <w:t>Таблица 3.1.2.</w:t>
      </w:r>
    </w:p>
    <w:p w:rsidR="00190E3E" w:rsidRPr="00A11646" w:rsidRDefault="00190E3E" w:rsidP="00190E3E">
      <w:pPr>
        <w:tabs>
          <w:tab w:val="left" w:pos="200"/>
        </w:tabs>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Распределение типов иммуноглобулинов в зависимости от медианы возраста (</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p>
    <w:p w:rsidR="00190E3E" w:rsidRPr="00A11646" w:rsidRDefault="00190E3E" w:rsidP="00190E3E">
      <w:pPr>
        <w:tabs>
          <w:tab w:val="left" w:pos="200"/>
        </w:tabs>
        <w:spacing w:after="0" w:line="240" w:lineRule="auto"/>
        <w:rPr>
          <w:rFonts w:ascii="Times New Roman" w:eastAsia="Times New Roman" w:hAnsi="Times New Roman"/>
          <w:b/>
          <w:sz w:val="28"/>
          <w:szCs w:val="28"/>
        </w:rPr>
      </w:pPr>
    </w:p>
    <w:tbl>
      <w:tblPr>
        <w:tblStyle w:val="a6"/>
        <w:tblpPr w:leftFromText="180" w:rightFromText="180" w:vertAnchor="page" w:horzAnchor="margin" w:tblpXSpec="center" w:tblpY="2679"/>
        <w:tblW w:w="8075" w:type="dxa"/>
        <w:tblLayout w:type="fixed"/>
        <w:tblLook w:val="04A0"/>
      </w:tblPr>
      <w:tblGrid>
        <w:gridCol w:w="1129"/>
        <w:gridCol w:w="573"/>
        <w:gridCol w:w="987"/>
        <w:gridCol w:w="996"/>
        <w:gridCol w:w="1257"/>
        <w:gridCol w:w="978"/>
        <w:gridCol w:w="1163"/>
        <w:gridCol w:w="992"/>
      </w:tblGrid>
      <w:tr w:rsidR="00A11646" w:rsidRPr="00A11646" w:rsidTr="00A11646">
        <w:trPr>
          <w:trHeight w:val="128"/>
        </w:trPr>
        <w:tc>
          <w:tcPr>
            <w:tcW w:w="1702" w:type="dxa"/>
            <w:gridSpan w:val="2"/>
            <w:vMerge w:val="restart"/>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Иммуно химический вариант ММ</w:t>
            </w:r>
          </w:p>
        </w:tc>
        <w:tc>
          <w:tcPr>
            <w:tcW w:w="6373" w:type="dxa"/>
            <w:gridSpan w:val="6"/>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Возрастные категории, лет</w:t>
            </w:r>
          </w:p>
        </w:tc>
      </w:tr>
      <w:tr w:rsidR="00A11646" w:rsidRPr="00A11646" w:rsidTr="00A11646">
        <w:trPr>
          <w:trHeight w:val="143"/>
        </w:trPr>
        <w:tc>
          <w:tcPr>
            <w:tcW w:w="1702" w:type="dxa"/>
            <w:gridSpan w:val="2"/>
            <w:vMerge/>
          </w:tcPr>
          <w:p w:rsidR="00190E3E" w:rsidRPr="00A11646" w:rsidRDefault="00190E3E" w:rsidP="00A11646">
            <w:pPr>
              <w:jc w:val="center"/>
              <w:rPr>
                <w:rFonts w:ascii="Times New Roman" w:eastAsia="Times New Roman" w:hAnsi="Times New Roman"/>
                <w:sz w:val="28"/>
                <w:szCs w:val="28"/>
                <w:lang w:val="uz-Cyrl-UZ"/>
              </w:rPr>
            </w:pPr>
          </w:p>
        </w:tc>
        <w:tc>
          <w:tcPr>
            <w:tcW w:w="98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20-30 </w:t>
            </w:r>
          </w:p>
        </w:tc>
        <w:tc>
          <w:tcPr>
            <w:tcW w:w="996"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30-40</w:t>
            </w:r>
          </w:p>
        </w:tc>
        <w:tc>
          <w:tcPr>
            <w:tcW w:w="125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40-50</w:t>
            </w:r>
          </w:p>
        </w:tc>
        <w:tc>
          <w:tcPr>
            <w:tcW w:w="978"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50-60</w:t>
            </w:r>
          </w:p>
        </w:tc>
        <w:tc>
          <w:tcPr>
            <w:tcW w:w="1163"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60-70</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70-80</w:t>
            </w:r>
          </w:p>
        </w:tc>
      </w:tr>
      <w:tr w:rsidR="00A11646" w:rsidRPr="00A11646" w:rsidTr="00A11646">
        <w:trPr>
          <w:trHeight w:val="143"/>
        </w:trPr>
        <w:tc>
          <w:tcPr>
            <w:tcW w:w="8075" w:type="dxa"/>
            <w:gridSpan w:val="8"/>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«А» подгруппа (</w:t>
            </w:r>
            <w:r w:rsidRPr="00A11646">
              <w:rPr>
                <w:rFonts w:ascii="Times New Roman" w:eastAsia="Times New Roman" w:hAnsi="Times New Roman"/>
                <w:sz w:val="28"/>
                <w:szCs w:val="28"/>
                <w:lang w:val="en-US"/>
              </w:rPr>
              <w:t>n=87)</w:t>
            </w:r>
          </w:p>
        </w:tc>
      </w:tr>
      <w:tr w:rsidR="00A11646" w:rsidRPr="00A11646" w:rsidTr="00A11646">
        <w:tc>
          <w:tcPr>
            <w:tcW w:w="1129" w:type="dxa"/>
            <w:vMerge w:val="restart"/>
          </w:tcPr>
          <w:p w:rsidR="00190E3E" w:rsidRPr="00A11646" w:rsidRDefault="00190E3E" w:rsidP="00A11646">
            <w:pPr>
              <w:jc w:val="center"/>
              <w:rPr>
                <w:rFonts w:ascii="Times New Roman" w:eastAsia="Times New Roman" w:hAnsi="Times New Roman"/>
                <w:sz w:val="28"/>
                <w:szCs w:val="28"/>
                <w:lang w:val="en-US"/>
              </w:rPr>
            </w:pPr>
          </w:p>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573"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98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0,93% </w:t>
            </w:r>
          </w:p>
        </w:tc>
        <w:tc>
          <w:tcPr>
            <w:tcW w:w="996" w:type="dxa"/>
            <w:tcBorders>
              <w:top w:val="nil"/>
              <w:left w:val="single" w:sz="4" w:space="0" w:color="auto"/>
              <w:bottom w:val="single" w:sz="4" w:space="0" w:color="auto"/>
              <w:right w:val="nil"/>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8,4%</w:t>
            </w:r>
          </w:p>
        </w:tc>
        <w:tc>
          <w:tcPr>
            <w:tcW w:w="125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13,1% </w:t>
            </w:r>
          </w:p>
        </w:tc>
        <w:tc>
          <w:tcPr>
            <w:tcW w:w="978"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14,0%</w:t>
            </w:r>
          </w:p>
        </w:tc>
        <w:tc>
          <w:tcPr>
            <w:tcW w:w="1163"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10,3% </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3,7%</w:t>
            </w:r>
          </w:p>
        </w:tc>
      </w:tr>
      <w:tr w:rsidR="00A11646" w:rsidRPr="00A11646" w:rsidTr="00A11646">
        <w:tc>
          <w:tcPr>
            <w:tcW w:w="1129" w:type="dxa"/>
            <w:vMerge/>
          </w:tcPr>
          <w:p w:rsidR="00190E3E" w:rsidRPr="00A11646" w:rsidRDefault="00190E3E" w:rsidP="00A11646">
            <w:pPr>
              <w:jc w:val="center"/>
              <w:rPr>
                <w:rFonts w:ascii="Times New Roman" w:eastAsia="Times New Roman" w:hAnsi="Times New Roman"/>
                <w:sz w:val="28"/>
                <w:szCs w:val="28"/>
              </w:rPr>
            </w:pPr>
          </w:p>
        </w:tc>
        <w:tc>
          <w:tcPr>
            <w:tcW w:w="573"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987" w:type="dxa"/>
            <w:tcBorders>
              <w:top w:val="nil"/>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w:t>
            </w:r>
          </w:p>
        </w:tc>
        <w:tc>
          <w:tcPr>
            <w:tcW w:w="996" w:type="dxa"/>
            <w:tcBorders>
              <w:top w:val="nil"/>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1,9%</w:t>
            </w:r>
          </w:p>
        </w:tc>
        <w:tc>
          <w:tcPr>
            <w:tcW w:w="1257"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0,93%</w:t>
            </w:r>
          </w:p>
        </w:tc>
        <w:tc>
          <w:tcPr>
            <w:tcW w:w="978"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6,5%</w:t>
            </w:r>
          </w:p>
        </w:tc>
        <w:tc>
          <w:tcPr>
            <w:tcW w:w="1163"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3,7%</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1,9%</w:t>
            </w:r>
          </w:p>
        </w:tc>
      </w:tr>
      <w:tr w:rsidR="00A11646" w:rsidRPr="00A11646" w:rsidTr="00A11646">
        <w:tc>
          <w:tcPr>
            <w:tcW w:w="1129" w:type="dxa"/>
            <w:vMerge w:val="restart"/>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573"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987" w:type="dxa"/>
            <w:tcBorders>
              <w:top w:val="nil"/>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996" w:type="dxa"/>
            <w:tcBorders>
              <w:top w:val="nil"/>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125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0,93%</w:t>
            </w:r>
          </w:p>
        </w:tc>
        <w:tc>
          <w:tcPr>
            <w:tcW w:w="978"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2,8%</w:t>
            </w:r>
          </w:p>
        </w:tc>
        <w:tc>
          <w:tcPr>
            <w:tcW w:w="1163"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0,93%</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A11646" w:rsidRPr="00A11646" w:rsidTr="00A11646">
        <w:tc>
          <w:tcPr>
            <w:tcW w:w="1129" w:type="dxa"/>
            <w:vMerge/>
          </w:tcPr>
          <w:p w:rsidR="00190E3E" w:rsidRPr="00A11646" w:rsidRDefault="00190E3E" w:rsidP="00A11646">
            <w:pPr>
              <w:jc w:val="center"/>
              <w:rPr>
                <w:rFonts w:ascii="Times New Roman" w:eastAsia="Times New Roman" w:hAnsi="Times New Roman"/>
                <w:sz w:val="28"/>
                <w:szCs w:val="28"/>
              </w:rPr>
            </w:pPr>
          </w:p>
        </w:tc>
        <w:tc>
          <w:tcPr>
            <w:tcW w:w="573"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987" w:type="dxa"/>
            <w:tcBorders>
              <w:top w:val="nil"/>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w:t>
            </w:r>
          </w:p>
        </w:tc>
        <w:tc>
          <w:tcPr>
            <w:tcW w:w="996" w:type="dxa"/>
            <w:tcBorders>
              <w:top w:val="nil"/>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1257"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2,8%</w:t>
            </w:r>
          </w:p>
        </w:tc>
        <w:tc>
          <w:tcPr>
            <w:tcW w:w="978"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3,7%</w:t>
            </w:r>
          </w:p>
        </w:tc>
        <w:tc>
          <w:tcPr>
            <w:tcW w:w="1163"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3,7%</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0,93%</w:t>
            </w:r>
          </w:p>
        </w:tc>
      </w:tr>
      <w:tr w:rsidR="00A11646" w:rsidRPr="00A11646" w:rsidTr="00A11646">
        <w:tc>
          <w:tcPr>
            <w:tcW w:w="1702" w:type="dxa"/>
            <w:gridSpan w:val="2"/>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Редкие типы</w:t>
            </w:r>
          </w:p>
        </w:tc>
        <w:tc>
          <w:tcPr>
            <w:tcW w:w="987" w:type="dxa"/>
            <w:tcBorders>
              <w:top w:val="single" w:sz="4" w:space="0" w:color="auto"/>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w:t>
            </w:r>
          </w:p>
        </w:tc>
        <w:tc>
          <w:tcPr>
            <w:tcW w:w="996" w:type="dxa"/>
            <w:tcBorders>
              <w:top w:val="single" w:sz="4" w:space="0" w:color="auto"/>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1,9%</w:t>
            </w:r>
          </w:p>
        </w:tc>
        <w:tc>
          <w:tcPr>
            <w:tcW w:w="1257" w:type="dxa"/>
            <w:tcBorders>
              <w:top w:val="single" w:sz="4" w:space="0" w:color="auto"/>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0,93%</w:t>
            </w:r>
          </w:p>
        </w:tc>
        <w:tc>
          <w:tcPr>
            <w:tcW w:w="978" w:type="dxa"/>
            <w:tcBorders>
              <w:top w:val="single" w:sz="4" w:space="0" w:color="auto"/>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7,48%</w:t>
            </w:r>
          </w:p>
        </w:tc>
        <w:tc>
          <w:tcPr>
            <w:tcW w:w="1163"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1,9%</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0,93%</w:t>
            </w:r>
          </w:p>
        </w:tc>
      </w:tr>
      <w:tr w:rsidR="00A11646" w:rsidRPr="00A11646" w:rsidTr="00A11646">
        <w:tc>
          <w:tcPr>
            <w:tcW w:w="8075" w:type="dxa"/>
            <w:gridSpan w:val="8"/>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«Б» подгруппа (</w:t>
            </w:r>
            <w:r w:rsidRPr="00A11646">
              <w:rPr>
                <w:rFonts w:ascii="Times New Roman" w:eastAsia="Times New Roman" w:hAnsi="Times New Roman"/>
                <w:sz w:val="28"/>
                <w:szCs w:val="28"/>
                <w:lang w:val="en-US"/>
              </w:rPr>
              <w:t>n=</w:t>
            </w:r>
            <w:r w:rsidRPr="00A11646">
              <w:rPr>
                <w:rFonts w:ascii="Times New Roman" w:eastAsia="Times New Roman" w:hAnsi="Times New Roman"/>
                <w:sz w:val="28"/>
                <w:szCs w:val="28"/>
              </w:rPr>
              <w:t>20</w:t>
            </w:r>
            <w:r w:rsidRPr="00A11646">
              <w:rPr>
                <w:rFonts w:ascii="Times New Roman" w:eastAsia="Times New Roman" w:hAnsi="Times New Roman"/>
                <w:sz w:val="28"/>
                <w:szCs w:val="28"/>
                <w:lang w:val="en-US"/>
              </w:rPr>
              <w:t>)</w:t>
            </w:r>
          </w:p>
        </w:tc>
      </w:tr>
    </w:tbl>
    <w:p w:rsidR="00190E3E" w:rsidRPr="00A11646" w:rsidRDefault="00190E3E" w:rsidP="00190E3E">
      <w:pPr>
        <w:spacing w:after="0" w:line="240" w:lineRule="auto"/>
        <w:jc w:val="center"/>
        <w:rPr>
          <w:rFonts w:ascii="Times New Roman" w:eastAsia="Times New Roman" w:hAnsi="Times New Roman"/>
          <w:sz w:val="28"/>
          <w:szCs w:val="28"/>
        </w:rPr>
      </w:pPr>
    </w:p>
    <w:tbl>
      <w:tblPr>
        <w:tblStyle w:val="a6"/>
        <w:tblpPr w:leftFromText="180" w:rightFromText="180" w:vertAnchor="page" w:horzAnchor="page" w:tblpX="2340" w:tblpY="6621"/>
        <w:tblW w:w="8080" w:type="dxa"/>
        <w:tblLayout w:type="fixed"/>
        <w:tblLook w:val="04A0"/>
      </w:tblPr>
      <w:tblGrid>
        <w:gridCol w:w="1134"/>
        <w:gridCol w:w="562"/>
        <w:gridCol w:w="11"/>
        <w:gridCol w:w="982"/>
        <w:gridCol w:w="992"/>
        <w:gridCol w:w="1276"/>
        <w:gridCol w:w="992"/>
        <w:gridCol w:w="1134"/>
        <w:gridCol w:w="997"/>
      </w:tblGrid>
      <w:tr w:rsidR="00A11646" w:rsidRPr="00A11646" w:rsidTr="00A11646">
        <w:tc>
          <w:tcPr>
            <w:tcW w:w="1134" w:type="dxa"/>
            <w:vMerge w:val="restart"/>
          </w:tcPr>
          <w:p w:rsidR="00190E3E" w:rsidRPr="00A11646" w:rsidRDefault="00190E3E" w:rsidP="00A11646">
            <w:pPr>
              <w:jc w:val="center"/>
              <w:rPr>
                <w:rFonts w:ascii="Times New Roman" w:eastAsia="Times New Roman" w:hAnsi="Times New Roman"/>
                <w:sz w:val="28"/>
                <w:szCs w:val="28"/>
                <w:lang w:val="en-US"/>
              </w:rPr>
            </w:pPr>
          </w:p>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573" w:type="dxa"/>
            <w:gridSpan w:val="2"/>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982"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w:t>
            </w:r>
          </w:p>
        </w:tc>
        <w:tc>
          <w:tcPr>
            <w:tcW w:w="992" w:type="dxa"/>
            <w:tcBorders>
              <w:top w:val="nil"/>
              <w:left w:val="single" w:sz="4" w:space="0" w:color="auto"/>
              <w:bottom w:val="single" w:sz="4" w:space="0" w:color="auto"/>
              <w:right w:val="nil"/>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1,9%</w:t>
            </w:r>
          </w:p>
        </w:tc>
        <w:tc>
          <w:tcPr>
            <w:tcW w:w="1276"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3,7% </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2,8%</w:t>
            </w:r>
          </w:p>
        </w:tc>
        <w:tc>
          <w:tcPr>
            <w:tcW w:w="1134"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w:t>
            </w:r>
          </w:p>
        </w:tc>
        <w:tc>
          <w:tcPr>
            <w:tcW w:w="99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A11646" w:rsidRPr="00A11646" w:rsidTr="00A11646">
        <w:tc>
          <w:tcPr>
            <w:tcW w:w="1134" w:type="dxa"/>
            <w:vMerge/>
          </w:tcPr>
          <w:p w:rsidR="00190E3E" w:rsidRPr="00A11646" w:rsidRDefault="00190E3E" w:rsidP="00A11646">
            <w:pPr>
              <w:jc w:val="center"/>
              <w:rPr>
                <w:rFonts w:ascii="Times New Roman" w:eastAsia="Times New Roman" w:hAnsi="Times New Roman"/>
                <w:sz w:val="28"/>
                <w:szCs w:val="28"/>
              </w:rPr>
            </w:pPr>
          </w:p>
        </w:tc>
        <w:tc>
          <w:tcPr>
            <w:tcW w:w="573" w:type="dxa"/>
            <w:gridSpan w:val="2"/>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982" w:type="dxa"/>
            <w:tcBorders>
              <w:top w:val="nil"/>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992" w:type="dxa"/>
            <w:tcBorders>
              <w:top w:val="nil"/>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1276"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2,8%</w:t>
            </w:r>
          </w:p>
        </w:tc>
        <w:tc>
          <w:tcPr>
            <w:tcW w:w="992"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1,9%</w:t>
            </w:r>
          </w:p>
        </w:tc>
        <w:tc>
          <w:tcPr>
            <w:tcW w:w="1134"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0,93%</w:t>
            </w:r>
          </w:p>
        </w:tc>
        <w:tc>
          <w:tcPr>
            <w:tcW w:w="99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A11646" w:rsidRPr="00A11646" w:rsidTr="00A11646">
        <w:tc>
          <w:tcPr>
            <w:tcW w:w="1134" w:type="dxa"/>
            <w:vMerge w:val="restart"/>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573" w:type="dxa"/>
            <w:gridSpan w:val="2"/>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982"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992" w:type="dxa"/>
            <w:tcBorders>
              <w:top w:val="nil"/>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0,93%</w:t>
            </w:r>
          </w:p>
        </w:tc>
        <w:tc>
          <w:tcPr>
            <w:tcW w:w="1276"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992"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1134"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w:t>
            </w:r>
          </w:p>
        </w:tc>
        <w:tc>
          <w:tcPr>
            <w:tcW w:w="99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A11646" w:rsidRPr="00A11646" w:rsidTr="00A11646">
        <w:tc>
          <w:tcPr>
            <w:tcW w:w="1134" w:type="dxa"/>
            <w:vMerge/>
          </w:tcPr>
          <w:p w:rsidR="00190E3E" w:rsidRPr="00A11646" w:rsidRDefault="00190E3E" w:rsidP="00A11646">
            <w:pPr>
              <w:jc w:val="center"/>
              <w:rPr>
                <w:rFonts w:ascii="Times New Roman" w:eastAsia="Times New Roman" w:hAnsi="Times New Roman"/>
                <w:sz w:val="28"/>
                <w:szCs w:val="28"/>
              </w:rPr>
            </w:pPr>
          </w:p>
        </w:tc>
        <w:tc>
          <w:tcPr>
            <w:tcW w:w="573" w:type="dxa"/>
            <w:gridSpan w:val="2"/>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982"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992" w:type="dxa"/>
            <w:tcBorders>
              <w:top w:val="nil"/>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1276"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0,93%</w:t>
            </w:r>
          </w:p>
        </w:tc>
        <w:tc>
          <w:tcPr>
            <w:tcW w:w="992"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0,93%</w:t>
            </w:r>
          </w:p>
        </w:tc>
        <w:tc>
          <w:tcPr>
            <w:tcW w:w="1134"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w:t>
            </w:r>
          </w:p>
        </w:tc>
        <w:tc>
          <w:tcPr>
            <w:tcW w:w="997" w:type="dxa"/>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r w:rsidR="00A11646" w:rsidRPr="00A11646" w:rsidTr="00A11646">
        <w:tc>
          <w:tcPr>
            <w:tcW w:w="1696" w:type="dxa"/>
            <w:gridSpan w:val="2"/>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Редкие типы</w:t>
            </w:r>
          </w:p>
        </w:tc>
        <w:tc>
          <w:tcPr>
            <w:tcW w:w="993" w:type="dxa"/>
            <w:gridSpan w:val="2"/>
            <w:tcBorders>
              <w:top w:val="single" w:sz="4" w:space="0" w:color="auto"/>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w:t>
            </w:r>
          </w:p>
        </w:tc>
        <w:tc>
          <w:tcPr>
            <w:tcW w:w="992" w:type="dxa"/>
            <w:tcBorders>
              <w:top w:val="single" w:sz="4" w:space="0" w:color="auto"/>
              <w:left w:val="nil"/>
              <w:bottom w:val="single" w:sz="4" w:space="0" w:color="auto"/>
              <w:right w:val="single" w:sz="4" w:space="0" w:color="auto"/>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0,93%</w:t>
            </w:r>
          </w:p>
        </w:tc>
        <w:tc>
          <w:tcPr>
            <w:tcW w:w="1276" w:type="dxa"/>
            <w:tcBorders>
              <w:top w:val="single" w:sz="4" w:space="0" w:color="auto"/>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c>
          <w:tcPr>
            <w:tcW w:w="992" w:type="dxa"/>
            <w:tcBorders>
              <w:top w:val="single" w:sz="4" w:space="0" w:color="auto"/>
              <w:left w:val="single" w:sz="4" w:space="0" w:color="auto"/>
              <w:bottom w:val="single" w:sz="4" w:space="0" w:color="auto"/>
              <w:right w:val="nil"/>
            </w:tcBorders>
            <w:shd w:val="clear" w:color="auto" w:fill="auto"/>
            <w:vAlign w:val="bottom"/>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0,93%</w:t>
            </w:r>
          </w:p>
        </w:tc>
        <w:tc>
          <w:tcPr>
            <w:tcW w:w="1134"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bCs/>
                <w:sz w:val="28"/>
                <w:szCs w:val="28"/>
              </w:rPr>
              <w:t xml:space="preserve"> -</w:t>
            </w:r>
          </w:p>
        </w:tc>
        <w:tc>
          <w:tcPr>
            <w:tcW w:w="997" w:type="dxa"/>
            <w:tcBorders>
              <w:bottom w:val="single" w:sz="4" w:space="0" w:color="auto"/>
            </w:tcBorders>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w:t>
            </w:r>
          </w:p>
        </w:tc>
      </w:tr>
    </w:tbl>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Клиническое обследование больных после проведенной терапии в обеих подгруппах показало значительное снижение процента и интенсивности оссалгии, инфекционных осложнений и экстрамедулярных проявлений. Новых патологических переломов среди больных не наблюдалось. Вместе с тем отмечалось улучшение почечной функции у больных ММ.</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 xml:space="preserve">В “А” подгруппе оссалгия наблюдалась у 32 (36,7%) больных (при варианте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κ  у 6 (6,9%), </w:t>
      </w:r>
      <w:r w:rsidRPr="00A11646">
        <w:rPr>
          <w:rFonts w:ascii="Times New Roman" w:hAnsi="Times New Roman"/>
          <w:sz w:val="28"/>
          <w:szCs w:val="28"/>
          <w:lang w:val="en-US"/>
        </w:rPr>
        <w:t>IgG</w:t>
      </w:r>
      <w:r w:rsidRPr="00A11646">
        <w:rPr>
          <w:rFonts w:ascii="Times New Roman" w:eastAsia="Times New Roman" w:hAnsi="Times New Roman"/>
          <w:sz w:val="28"/>
          <w:szCs w:val="28"/>
        </w:rPr>
        <w:t xml:space="preserve">λ – 9 (10,3%), </w:t>
      </w:r>
      <w:r w:rsidRPr="00A11646">
        <w:rPr>
          <w:rFonts w:ascii="Times New Roman" w:hAnsi="Times New Roman"/>
          <w:sz w:val="28"/>
          <w:szCs w:val="28"/>
          <w:lang w:val="en-US"/>
        </w:rPr>
        <w:t>IgA</w:t>
      </w:r>
      <w:r w:rsidRPr="00A11646">
        <w:rPr>
          <w:rFonts w:ascii="Times New Roman" w:eastAsia="Times New Roman" w:hAnsi="Times New Roman"/>
          <w:sz w:val="28"/>
          <w:szCs w:val="28"/>
        </w:rPr>
        <w:t xml:space="preserve">κ  -1 (1,2%),  </w:t>
      </w:r>
      <w:r w:rsidRPr="00A11646">
        <w:rPr>
          <w:rFonts w:ascii="Times New Roman" w:hAnsi="Times New Roman"/>
          <w:sz w:val="28"/>
          <w:szCs w:val="28"/>
          <w:lang w:val="en-US"/>
        </w:rPr>
        <w:t>IgA</w:t>
      </w:r>
      <w:r w:rsidRPr="00A11646">
        <w:rPr>
          <w:rFonts w:ascii="Times New Roman" w:eastAsia="Times New Roman" w:hAnsi="Times New Roman"/>
          <w:sz w:val="28"/>
          <w:szCs w:val="28"/>
        </w:rPr>
        <w:t xml:space="preserve">λ -8 (9,2%) и редких типах  у 8 (9,2%). Инфекционные осложнения в виде бронхита и пневмонии наблюдались у 7 (8,0%) больных ММ, что было связано воздействием высокодозной ПХТ на количество лейкоцитов. </w:t>
      </w:r>
      <w:r w:rsidRPr="00A11646">
        <w:rPr>
          <w:rFonts w:ascii="Times New Roman" w:hAnsi="Times New Roman"/>
          <w:sz w:val="28"/>
          <w:szCs w:val="28"/>
        </w:rPr>
        <w:t xml:space="preserve">Выраженное нарушение почечной функции (ХПН) среди больных сохранялось у 19 (21,8%). Экстрамедулярные проявления ММ значительно снизились почти в 2 раза в сравнение с проявлениями до лечения, и сохранялись лишь у 6 </w:t>
      </w:r>
      <w:r w:rsidRPr="00A11646">
        <w:rPr>
          <w:rFonts w:ascii="Times New Roman" w:hAnsi="Times New Roman"/>
          <w:sz w:val="28"/>
          <w:szCs w:val="28"/>
        </w:rPr>
        <w:lastRenderedPageBreak/>
        <w:t xml:space="preserve">(6,9%)   в виде поражения мягких тканей лица, волосистой части головы (у пациентов с вариантом ММ IgGκ (2,3%) и </w:t>
      </w:r>
      <w:r w:rsidRPr="00A11646">
        <w:rPr>
          <w:rFonts w:ascii="Times New Roman" w:hAnsi="Times New Roman"/>
          <w:sz w:val="28"/>
          <w:szCs w:val="28"/>
          <w:lang w:val="en-US"/>
        </w:rPr>
        <w:t>IgG</w:t>
      </w:r>
      <w:r w:rsidRPr="00A11646">
        <w:rPr>
          <w:rFonts w:ascii="Times New Roman" w:eastAsia="Times New Roman" w:hAnsi="Times New Roman"/>
          <w:sz w:val="28"/>
          <w:szCs w:val="28"/>
        </w:rPr>
        <w:t>λ (4,6%) (рис.4.1.4.).</w:t>
      </w:r>
    </w:p>
    <w:p w:rsidR="00190E3E" w:rsidRPr="00A11646" w:rsidRDefault="00190E3E" w:rsidP="00190E3E">
      <w:pPr>
        <w:autoSpaceDE w:val="0"/>
        <w:autoSpaceDN w:val="0"/>
        <w:adjustRightInd w:val="0"/>
        <w:spacing w:after="0" w:line="360" w:lineRule="auto"/>
        <w:jc w:val="both"/>
        <w:rPr>
          <w:rFonts w:ascii="Times New Roman" w:eastAsia="Times New Roman" w:hAnsi="Times New Roman"/>
          <w:sz w:val="28"/>
          <w:szCs w:val="28"/>
        </w:rPr>
      </w:pPr>
      <w:r w:rsidRPr="00A11646">
        <w:rPr>
          <w:rFonts w:ascii="Times New Roman" w:eastAsia="Times New Roman" w:hAnsi="Times New Roman"/>
          <w:sz w:val="28"/>
          <w:szCs w:val="28"/>
        </w:rPr>
        <w:tab/>
        <w:t>Клинический анализ в «Б» подгруппе в посттрансплантационный период показал развитие ангины и обострение хронического бронхита у 1 (5,0%) больного, развитие тромбофлебита у 1 (5,0%) больного, бронхопневмония у 2 (10,0%) больных. Описанные инфекционные осложнения через 1 мес после проведения аутоТГСК не наблюдались.</w:t>
      </w:r>
    </w:p>
    <w:p w:rsidR="00190E3E" w:rsidRPr="00A11646" w:rsidRDefault="00190E3E" w:rsidP="00190E3E">
      <w:pPr>
        <w:autoSpaceDE w:val="0"/>
        <w:autoSpaceDN w:val="0"/>
        <w:adjustRightInd w:val="0"/>
        <w:spacing w:after="0" w:line="360" w:lineRule="auto"/>
        <w:ind w:firstLine="708"/>
        <w:jc w:val="right"/>
        <w:rPr>
          <w:rFonts w:ascii="Times New Roman" w:hAnsi="Times New Roman"/>
          <w:b/>
          <w:noProof/>
          <w:sz w:val="28"/>
          <w:szCs w:val="28"/>
          <w:lang w:val="uz-Cyrl-UZ"/>
        </w:rPr>
      </w:pPr>
    </w:p>
    <w:p w:rsidR="00190E3E" w:rsidRPr="00A11646" w:rsidRDefault="00190E3E" w:rsidP="00190E3E">
      <w:pPr>
        <w:autoSpaceDE w:val="0"/>
        <w:autoSpaceDN w:val="0"/>
        <w:adjustRightInd w:val="0"/>
        <w:spacing w:after="0" w:line="360" w:lineRule="auto"/>
        <w:ind w:firstLine="708"/>
        <w:jc w:val="right"/>
        <w:rPr>
          <w:rFonts w:ascii="Times New Roman" w:hAnsi="Times New Roman"/>
          <w:b/>
          <w:noProof/>
          <w:sz w:val="28"/>
          <w:szCs w:val="28"/>
          <w:lang w:val="uz-Cyrl-UZ"/>
        </w:rPr>
      </w:pPr>
      <w:r w:rsidRPr="00A11646">
        <w:rPr>
          <w:rFonts w:ascii="Times New Roman" w:hAnsi="Times New Roman"/>
          <w:b/>
          <w:noProof/>
          <w:sz w:val="28"/>
          <w:szCs w:val="28"/>
        </w:rPr>
        <w:drawing>
          <wp:inline distT="0" distB="0" distL="0" distR="0">
            <wp:extent cx="5486400"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90E3E" w:rsidRPr="00A11646" w:rsidRDefault="00190E3E" w:rsidP="00190E3E">
      <w:pPr>
        <w:autoSpaceDE w:val="0"/>
        <w:autoSpaceDN w:val="0"/>
        <w:adjustRightInd w:val="0"/>
        <w:spacing w:after="0" w:line="360" w:lineRule="auto"/>
        <w:ind w:firstLine="708"/>
        <w:jc w:val="both"/>
        <w:rPr>
          <w:rFonts w:ascii="Times New Roman" w:hAnsi="Times New Roman"/>
          <w:b/>
          <w:noProof/>
          <w:sz w:val="28"/>
          <w:szCs w:val="28"/>
        </w:rPr>
      </w:pPr>
      <w:r w:rsidRPr="00A11646">
        <w:rPr>
          <w:rFonts w:ascii="Times New Roman" w:hAnsi="Times New Roman"/>
          <w:b/>
          <w:noProof/>
          <w:sz w:val="28"/>
          <w:szCs w:val="28"/>
        </w:rPr>
        <w:t>Рис.4.1.4. Динамика клинических проявлений ММ до лечения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Положительная динамика наблюдалась также и в отношении выраженности и частоты анемического синдрома. Так в “А” подгруппе</w:t>
      </w:r>
      <w:r w:rsidRPr="00A11646">
        <w:rPr>
          <w:rFonts w:ascii="Times New Roman" w:hAnsi="Times New Roman"/>
          <w:sz w:val="28"/>
          <w:szCs w:val="28"/>
        </w:rPr>
        <w:t>тяжелая степень анемического синдрома регистрировалась у 12 (13,7%), средняя у 19 (21,8%) и легкая степень у 37 (42,5%) больных. В подгруппе «Б» тяжелая степень анемического синдрома не регистрировалась, средняя степень отмечена у 5 (25%) и легкая у 11 (55%)</w:t>
      </w:r>
      <w:r w:rsidRPr="00A11646">
        <w:rPr>
          <w:rFonts w:ascii="Times New Roman" w:eastAsia="Times New Roman" w:hAnsi="Times New Roman"/>
          <w:sz w:val="28"/>
          <w:szCs w:val="28"/>
        </w:rPr>
        <w:t>(рис 4.1.5.).</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lastRenderedPageBreak/>
        <w:drawing>
          <wp:inline distT="0" distB="0" distL="0" distR="0">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4.1.5. Частота распределения (%) анемического синдрома</w:t>
      </w:r>
      <w:r w:rsidR="005B7F7A">
        <w:rPr>
          <w:rFonts w:ascii="Times New Roman" w:hAnsi="Times New Roman"/>
          <w:b/>
          <w:sz w:val="28"/>
          <w:szCs w:val="28"/>
          <w:lang w:val="uz-Cyrl-UZ"/>
        </w:rPr>
        <w:t xml:space="preserve"> </w:t>
      </w:r>
      <w:r w:rsidRPr="00A11646">
        <w:rPr>
          <w:rFonts w:ascii="Times New Roman" w:hAnsi="Times New Roman"/>
          <w:b/>
          <w:sz w:val="28"/>
          <w:szCs w:val="28"/>
          <w:lang w:val="uz-Cyrl-UZ"/>
        </w:rPr>
        <w:t>до лечения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Таким образом, проведенное лечение в обеих подгруппах свидетельствует об улучшении клинического статуса больных. Однако динамика изученных клинических параметров после лечения в «Б» подгруппе отличалась наибольшим восстановлением в сравнении с «А» подгруппой, что выражалось в исчезновении характерной симптоматики ММ, в свою очередь подчеркивающие высокую эффективность метода лечения с применением </w:t>
      </w:r>
      <w:r w:rsidRPr="00A11646">
        <w:rPr>
          <w:rFonts w:ascii="Times New Roman" w:hAnsi="Times New Roman"/>
          <w:sz w:val="28"/>
          <w:szCs w:val="28"/>
          <w:lang w:val="en-US"/>
        </w:rPr>
        <w:t>VCD</w:t>
      </w:r>
      <w:r w:rsidRPr="00A11646">
        <w:rPr>
          <w:rFonts w:ascii="Times New Roman" w:hAnsi="Times New Roman"/>
          <w:sz w:val="28"/>
          <w:szCs w:val="28"/>
        </w:rPr>
        <w:t>+аутоТГСК.</w:t>
      </w:r>
    </w:p>
    <w:p w:rsidR="00190E3E" w:rsidRPr="00A11646" w:rsidRDefault="00190E3E" w:rsidP="00190E3E">
      <w:pPr>
        <w:autoSpaceDE w:val="0"/>
        <w:autoSpaceDN w:val="0"/>
        <w:adjustRightInd w:val="0"/>
        <w:spacing w:after="0" w:line="360" w:lineRule="auto"/>
        <w:jc w:val="center"/>
        <w:rPr>
          <w:rFonts w:ascii="Times New Roman" w:hAnsi="Times New Roman"/>
          <w:b/>
          <w:sz w:val="28"/>
          <w:szCs w:val="28"/>
          <w:lang w:val="uz-Cyrl-UZ"/>
        </w:rPr>
      </w:pPr>
    </w:p>
    <w:p w:rsidR="00190E3E" w:rsidRPr="00A11646" w:rsidRDefault="00190E3E" w:rsidP="00190E3E">
      <w:pPr>
        <w:autoSpaceDE w:val="0"/>
        <w:autoSpaceDN w:val="0"/>
        <w:adjustRightInd w:val="0"/>
        <w:spacing w:after="0" w:line="360" w:lineRule="auto"/>
        <w:jc w:val="center"/>
        <w:rPr>
          <w:rFonts w:ascii="Times New Roman" w:eastAsia="Calibri" w:hAnsi="Times New Roman"/>
          <w:b/>
          <w:sz w:val="28"/>
          <w:szCs w:val="28"/>
        </w:rPr>
      </w:pPr>
      <w:r w:rsidRPr="00A11646">
        <w:rPr>
          <w:rFonts w:ascii="Times New Roman" w:hAnsi="Times New Roman"/>
          <w:b/>
          <w:sz w:val="28"/>
          <w:szCs w:val="28"/>
          <w:lang w:val="uz-Cyrl-UZ"/>
        </w:rPr>
        <w:t xml:space="preserve">§ 4.2. </w:t>
      </w:r>
      <w:r w:rsidRPr="00A11646">
        <w:rPr>
          <w:rFonts w:ascii="Times New Roman" w:eastAsia="Calibri" w:hAnsi="Times New Roman"/>
          <w:b/>
          <w:sz w:val="28"/>
          <w:szCs w:val="28"/>
        </w:rPr>
        <w:t>Состояние лабораторных показателей у больных</w:t>
      </w:r>
      <w:r w:rsidR="00644EAF">
        <w:rPr>
          <w:rFonts w:ascii="Times New Roman" w:eastAsia="Calibri" w:hAnsi="Times New Roman"/>
          <w:b/>
          <w:sz w:val="28"/>
          <w:szCs w:val="28"/>
          <w:lang w:val="uz-Cyrl-UZ"/>
        </w:rPr>
        <w:t xml:space="preserve"> </w:t>
      </w:r>
      <w:r w:rsidRPr="00A11646">
        <w:rPr>
          <w:rFonts w:ascii="Times New Roman" w:eastAsia="Calibri" w:hAnsi="Times New Roman"/>
          <w:b/>
          <w:sz w:val="28"/>
          <w:szCs w:val="28"/>
          <w:lang w:val="uz-Cyrl-UZ"/>
        </w:rPr>
        <w:t>ММ</w:t>
      </w:r>
      <w:r w:rsidRPr="00A11646">
        <w:rPr>
          <w:rFonts w:ascii="Times New Roman" w:eastAsia="Calibri" w:hAnsi="Times New Roman"/>
          <w:b/>
          <w:sz w:val="28"/>
          <w:szCs w:val="28"/>
        </w:rPr>
        <w:t xml:space="preserve"> после лечения</w:t>
      </w:r>
    </w:p>
    <w:p w:rsidR="00190E3E" w:rsidRPr="00A11646" w:rsidRDefault="00190E3E" w:rsidP="00190E3E">
      <w:pPr>
        <w:autoSpaceDE w:val="0"/>
        <w:autoSpaceDN w:val="0"/>
        <w:adjustRightInd w:val="0"/>
        <w:spacing w:after="0" w:line="360" w:lineRule="auto"/>
        <w:ind w:firstLine="708"/>
        <w:jc w:val="center"/>
        <w:rPr>
          <w:rFonts w:ascii="Times New Roman" w:hAnsi="Times New Roman"/>
          <w:b/>
          <w:sz w:val="28"/>
          <w:szCs w:val="28"/>
          <w:lang w:val="uz-Cyrl-UZ"/>
        </w:rPr>
      </w:pPr>
      <w:r w:rsidRPr="00A11646">
        <w:rPr>
          <w:rFonts w:ascii="Times New Roman" w:hAnsi="Times New Roman"/>
          <w:b/>
          <w:sz w:val="28"/>
          <w:szCs w:val="28"/>
          <w:lang w:val="uz-Cyrl-UZ"/>
        </w:rPr>
        <w:t>4.2.1. Состояние показателей периферической крови и костного мозга у больных ММ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Изучая показатели периферической крови у больных ММ после лечения выявлено, что в основной группе</w:t>
      </w:r>
      <w:r w:rsidRPr="00A11646">
        <w:rPr>
          <w:rFonts w:ascii="Times New Roman" w:hAnsi="Times New Roman"/>
          <w:sz w:val="28"/>
          <w:szCs w:val="28"/>
        </w:rPr>
        <w:t>(</w:t>
      </w:r>
      <w:r w:rsidRPr="00A11646">
        <w:rPr>
          <w:rFonts w:ascii="Times New Roman" w:hAnsi="Times New Roman"/>
          <w:sz w:val="28"/>
          <w:szCs w:val="28"/>
          <w:lang w:val="en-US"/>
        </w:rPr>
        <w:t>n</w:t>
      </w:r>
      <w:r w:rsidRPr="00A11646">
        <w:rPr>
          <w:rFonts w:ascii="Times New Roman" w:hAnsi="Times New Roman"/>
          <w:sz w:val="28"/>
          <w:szCs w:val="28"/>
        </w:rPr>
        <w:t>=107) больных</w:t>
      </w:r>
      <w:r w:rsidRPr="00A11646">
        <w:rPr>
          <w:rFonts w:ascii="Times New Roman" w:hAnsi="Times New Roman"/>
          <w:sz w:val="28"/>
          <w:szCs w:val="28"/>
          <w:lang w:val="uz-Cyrl-UZ"/>
        </w:rPr>
        <w:t xml:space="preserve"> у 48 (55,1%)регистрировалось снижение уровня гемоглобина </w:t>
      </w:r>
      <w:r w:rsidRPr="00A11646">
        <w:rPr>
          <w:rFonts w:ascii="Times New Roman" w:hAnsi="Times New Roman"/>
          <w:sz w:val="28"/>
          <w:szCs w:val="28"/>
        </w:rPr>
        <w:t>(</w:t>
      </w:r>
      <w:r w:rsidRPr="00A11646">
        <w:rPr>
          <w:rFonts w:ascii="Times New Roman" w:hAnsi="Times New Roman"/>
          <w:sz w:val="28"/>
          <w:szCs w:val="28"/>
          <w:lang w:val="en-US"/>
        </w:rPr>
        <w:t>Hb</w:t>
      </w:r>
      <w:r w:rsidRPr="00A11646">
        <w:rPr>
          <w:rFonts w:ascii="Times New Roman" w:hAnsi="Times New Roman"/>
          <w:sz w:val="28"/>
          <w:szCs w:val="28"/>
        </w:rPr>
        <w:t>)</w:t>
      </w:r>
      <w:r w:rsidRPr="00A11646">
        <w:rPr>
          <w:rFonts w:ascii="Times New Roman" w:hAnsi="Times New Roman"/>
          <w:sz w:val="28"/>
          <w:szCs w:val="28"/>
          <w:lang w:val="uz-Cyrl-UZ"/>
        </w:rPr>
        <w:t xml:space="preserve">от 119 до 91 г/л, у 24 (27,6%) от 90 до 71 г/л и у 12 (13,8%) в пределах от 70 и ниже больных ММ.Сравнительный анализ этих данных показал, что после </w:t>
      </w:r>
      <w:r w:rsidRPr="00A11646">
        <w:rPr>
          <w:rFonts w:ascii="Times New Roman" w:hAnsi="Times New Roman"/>
          <w:sz w:val="28"/>
          <w:szCs w:val="28"/>
          <w:lang w:val="uz-Cyrl-UZ"/>
        </w:rPr>
        <w:lastRenderedPageBreak/>
        <w:t>лечения снижение гемоглобина средней и тяжелой стпени в сравнение с результатами до лечения снизились в 1,34 и 2,6 раза, соответственно (рис. 4.2.1.1.).</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t>Рис. 4.2.1.1. Процентное соотношение степени снижения гемоглобина до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t xml:space="preserve">Изучение уровня Hb и эритроцитовв зависимости от иммунохимического варианта ММ после лечения показало, в “А” подгруппе эти показатели превышали таковые до лечения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достоверно в 1,2 (99,7</w:t>
      </w:r>
      <w:r w:rsidRPr="00A11646">
        <w:rPr>
          <w:rFonts w:ascii="Times New Roman" w:eastAsia="Times New Roman" w:hAnsi="Times New Roman"/>
          <w:sz w:val="28"/>
          <w:szCs w:val="28"/>
        </w:rPr>
        <w:t xml:space="preserve">±3,3 г/л против </w:t>
      </w:r>
      <w:r w:rsidRPr="00A11646">
        <w:rPr>
          <w:rFonts w:ascii="Times New Roman" w:hAnsi="Times New Roman"/>
          <w:sz w:val="28"/>
          <w:szCs w:val="28"/>
        </w:rPr>
        <w:t>83,3</w:t>
      </w:r>
      <w:r w:rsidRPr="00A11646">
        <w:rPr>
          <w:rFonts w:ascii="Times New Roman" w:eastAsia="Times New Roman" w:hAnsi="Times New Roman"/>
          <w:sz w:val="28"/>
          <w:szCs w:val="28"/>
        </w:rPr>
        <w:t xml:space="preserve">±3,2 г/л; </w:t>
      </w:r>
      <w:bookmarkStart w:id="161" w:name="_Hlk6170025"/>
      <w:r w:rsidRPr="00A11646">
        <w:rPr>
          <w:rFonts w:ascii="Times New Roman" w:eastAsia="Times New Roman" w:hAnsi="Times New Roman"/>
          <w:sz w:val="28"/>
          <w:szCs w:val="28"/>
        </w:rPr>
        <w:t>р&lt;0,01</w:t>
      </w:r>
      <w:bookmarkEnd w:id="161"/>
      <w:r w:rsidRPr="00A11646">
        <w:rPr>
          <w:rFonts w:ascii="Times New Roman" w:eastAsia="Times New Roman" w:hAnsi="Times New Roman"/>
          <w:sz w:val="28"/>
          <w:szCs w:val="28"/>
        </w:rPr>
        <w:t xml:space="preserve">) и в 1,1 </w:t>
      </w:r>
      <w:bookmarkStart w:id="162" w:name="_Hlk6170364"/>
      <w:r w:rsidRPr="00A11646">
        <w:rPr>
          <w:rFonts w:ascii="Times New Roman" w:hAnsi="Times New Roman"/>
          <w:sz w:val="28"/>
          <w:szCs w:val="28"/>
        </w:rPr>
        <w:t>(3,3</w:t>
      </w:r>
      <w:r w:rsidRPr="00A11646">
        <w:rPr>
          <w:rFonts w:ascii="Times New Roman" w:eastAsia="Times New Roman" w:hAnsi="Times New Roman"/>
          <w:sz w:val="28"/>
          <w:szCs w:val="28"/>
        </w:rPr>
        <w:t>±0,11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3,0±0,10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р&lt;0,05)</w:t>
      </w:r>
      <w:bookmarkEnd w:id="162"/>
      <w:r w:rsidRPr="00A11646">
        <w:rPr>
          <w:rFonts w:ascii="Times New Roman" w:eastAsia="Times New Roman" w:hAnsi="Times New Roman"/>
          <w:sz w:val="28"/>
          <w:szCs w:val="28"/>
        </w:rPr>
        <w:t xml:space="preserve">,  при </w:t>
      </w:r>
      <w:r w:rsidRPr="00A11646">
        <w:rPr>
          <w:rFonts w:ascii="Times New Roman" w:hAnsi="Times New Roman"/>
          <w:sz w:val="28"/>
          <w:szCs w:val="28"/>
          <w:lang w:val="en-US"/>
        </w:rPr>
        <w:t>IgGλ</w:t>
      </w:r>
      <w:r w:rsidRPr="00A11646">
        <w:rPr>
          <w:rFonts w:ascii="Times New Roman" w:hAnsi="Times New Roman"/>
          <w:sz w:val="28"/>
          <w:szCs w:val="28"/>
        </w:rPr>
        <w:t xml:space="preserve"> – достоверно в 1,4 (98,9</w:t>
      </w:r>
      <w:r w:rsidRPr="00A11646">
        <w:rPr>
          <w:rFonts w:ascii="Times New Roman" w:eastAsia="Times New Roman" w:hAnsi="Times New Roman"/>
          <w:sz w:val="28"/>
          <w:szCs w:val="28"/>
        </w:rPr>
        <w:t xml:space="preserve">±6,4 г/л против 73,2±5,1 г/л; р&lt;0,01) и в 1,3 </w:t>
      </w:r>
      <w:r w:rsidRPr="00A11646">
        <w:rPr>
          <w:rFonts w:ascii="Times New Roman" w:hAnsi="Times New Roman"/>
          <w:sz w:val="28"/>
          <w:szCs w:val="28"/>
        </w:rPr>
        <w:t>(3,5</w:t>
      </w:r>
      <w:r w:rsidRPr="00A11646">
        <w:rPr>
          <w:rFonts w:ascii="Times New Roman" w:eastAsia="Times New Roman" w:hAnsi="Times New Roman"/>
          <w:sz w:val="28"/>
          <w:szCs w:val="28"/>
        </w:rPr>
        <w:t>±0,16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2,7±0,17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 xml:space="preserve">/л; р&lt;0,01),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1,2 (96,6</w:t>
      </w:r>
      <w:r w:rsidRPr="00A11646">
        <w:rPr>
          <w:rFonts w:ascii="Times New Roman" w:eastAsia="Times New Roman" w:hAnsi="Times New Roman"/>
          <w:sz w:val="28"/>
          <w:szCs w:val="28"/>
        </w:rPr>
        <w:t xml:space="preserve">±11,2 г/л против </w:t>
      </w:r>
      <w:r w:rsidRPr="00A11646">
        <w:rPr>
          <w:rFonts w:ascii="Times New Roman" w:hAnsi="Times New Roman"/>
          <w:sz w:val="28"/>
          <w:szCs w:val="28"/>
        </w:rPr>
        <w:t>80,5</w:t>
      </w:r>
      <w:r w:rsidRPr="00A11646">
        <w:rPr>
          <w:rFonts w:ascii="Times New Roman" w:eastAsia="Times New Roman" w:hAnsi="Times New Roman"/>
          <w:sz w:val="28"/>
          <w:szCs w:val="28"/>
        </w:rPr>
        <w:t xml:space="preserve">±9,4 г/л; р&gt;0,05) и в 1,13 </w:t>
      </w:r>
      <w:r w:rsidRPr="00A11646">
        <w:rPr>
          <w:rFonts w:ascii="Times New Roman" w:hAnsi="Times New Roman"/>
          <w:sz w:val="28"/>
          <w:szCs w:val="28"/>
        </w:rPr>
        <w:t>(3,6</w:t>
      </w:r>
      <w:r w:rsidRPr="00A11646">
        <w:rPr>
          <w:rFonts w:ascii="Times New Roman" w:eastAsia="Times New Roman" w:hAnsi="Times New Roman"/>
          <w:sz w:val="28"/>
          <w:szCs w:val="28"/>
        </w:rPr>
        <w:t>±0,25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3,2±0,31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р&gt;0,05),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1,2 (92,7</w:t>
      </w:r>
      <w:r w:rsidRPr="00A11646">
        <w:rPr>
          <w:rFonts w:ascii="Times New Roman" w:eastAsia="Times New Roman" w:hAnsi="Times New Roman"/>
          <w:sz w:val="28"/>
          <w:szCs w:val="28"/>
        </w:rPr>
        <w:t xml:space="preserve">±8,3 г/л против </w:t>
      </w:r>
      <w:r w:rsidRPr="00A11646">
        <w:rPr>
          <w:rFonts w:ascii="Times New Roman" w:hAnsi="Times New Roman"/>
          <w:sz w:val="28"/>
          <w:szCs w:val="28"/>
        </w:rPr>
        <w:t>75,0</w:t>
      </w:r>
      <w:r w:rsidRPr="00A11646">
        <w:rPr>
          <w:rFonts w:ascii="Times New Roman" w:eastAsia="Times New Roman" w:hAnsi="Times New Roman"/>
          <w:sz w:val="28"/>
          <w:szCs w:val="28"/>
        </w:rPr>
        <w:t xml:space="preserve">±6,7 г/л; р&gt;0,05) и в1,22 </w:t>
      </w:r>
      <w:r w:rsidRPr="00A11646">
        <w:rPr>
          <w:rFonts w:ascii="Times New Roman" w:hAnsi="Times New Roman"/>
          <w:sz w:val="28"/>
          <w:szCs w:val="28"/>
        </w:rPr>
        <w:t>(3,3</w:t>
      </w:r>
      <w:r w:rsidRPr="00A11646">
        <w:rPr>
          <w:rFonts w:ascii="Times New Roman" w:eastAsia="Times New Roman" w:hAnsi="Times New Roman"/>
          <w:sz w:val="28"/>
          <w:szCs w:val="28"/>
        </w:rPr>
        <w:t>±0,25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2,7±0,21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 xml:space="preserve">/л; р&lt;0,05), при редких вариантах  в 1,3 </w:t>
      </w:r>
      <w:r w:rsidRPr="00A11646">
        <w:rPr>
          <w:rFonts w:ascii="Times New Roman" w:hAnsi="Times New Roman"/>
          <w:sz w:val="28"/>
          <w:szCs w:val="28"/>
        </w:rPr>
        <w:t>(105,9</w:t>
      </w:r>
      <w:r w:rsidRPr="00A11646">
        <w:rPr>
          <w:rFonts w:ascii="Times New Roman" w:eastAsia="Times New Roman" w:hAnsi="Times New Roman"/>
          <w:sz w:val="28"/>
          <w:szCs w:val="28"/>
        </w:rPr>
        <w:t xml:space="preserve">±6,6 г/л против </w:t>
      </w:r>
      <w:r w:rsidRPr="00A11646">
        <w:rPr>
          <w:rFonts w:ascii="Times New Roman" w:hAnsi="Times New Roman"/>
          <w:sz w:val="28"/>
          <w:szCs w:val="28"/>
        </w:rPr>
        <w:t>82,9</w:t>
      </w:r>
      <w:r w:rsidRPr="00A11646">
        <w:rPr>
          <w:rFonts w:ascii="Times New Roman" w:eastAsia="Times New Roman" w:hAnsi="Times New Roman"/>
          <w:sz w:val="28"/>
          <w:szCs w:val="28"/>
        </w:rPr>
        <w:t xml:space="preserve">±6,9 г/л; р&lt;0,05)  и в 1,13 </w:t>
      </w:r>
      <w:r w:rsidRPr="00A11646">
        <w:rPr>
          <w:rFonts w:ascii="Times New Roman" w:hAnsi="Times New Roman"/>
          <w:sz w:val="28"/>
          <w:szCs w:val="28"/>
        </w:rPr>
        <w:t>(3,5</w:t>
      </w:r>
      <w:r w:rsidRPr="00A11646">
        <w:rPr>
          <w:rFonts w:ascii="Times New Roman" w:eastAsia="Times New Roman" w:hAnsi="Times New Roman"/>
          <w:sz w:val="28"/>
          <w:szCs w:val="28"/>
        </w:rPr>
        <w:t>±0,21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3,1±0,25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р&gt;0,05) раза соответственно.</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lastRenderedPageBreak/>
        <w:t xml:space="preserve">В “Б” подгруппе эти показатели превышали таковые до лечения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в 1,33 (111,1</w:t>
      </w:r>
      <w:r w:rsidRPr="00A11646">
        <w:rPr>
          <w:rFonts w:ascii="Times New Roman" w:eastAsia="Times New Roman" w:hAnsi="Times New Roman"/>
          <w:sz w:val="28"/>
          <w:szCs w:val="28"/>
        </w:rPr>
        <w:t xml:space="preserve">±4,2 г/л против </w:t>
      </w:r>
      <w:r w:rsidRPr="00A11646">
        <w:rPr>
          <w:rFonts w:ascii="Times New Roman" w:hAnsi="Times New Roman"/>
          <w:sz w:val="28"/>
          <w:szCs w:val="28"/>
        </w:rPr>
        <w:t>83,3</w:t>
      </w:r>
      <w:r w:rsidRPr="00A11646">
        <w:rPr>
          <w:rFonts w:ascii="Times New Roman" w:eastAsia="Times New Roman" w:hAnsi="Times New Roman"/>
          <w:sz w:val="28"/>
          <w:szCs w:val="28"/>
        </w:rPr>
        <w:t>±3,2 г/л; р&lt;0,001) и в 1,3</w:t>
      </w:r>
      <w:r w:rsidRPr="00A11646">
        <w:rPr>
          <w:rFonts w:ascii="Times New Roman" w:hAnsi="Times New Roman"/>
          <w:sz w:val="28"/>
          <w:szCs w:val="28"/>
        </w:rPr>
        <w:t>(3,9</w:t>
      </w:r>
      <w:r w:rsidRPr="00A11646">
        <w:rPr>
          <w:rFonts w:ascii="Times New Roman" w:eastAsia="Times New Roman" w:hAnsi="Times New Roman"/>
          <w:sz w:val="28"/>
          <w:szCs w:val="28"/>
        </w:rPr>
        <w:t>±0,08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3,0±0,10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 xml:space="preserve">/л; р&lt;0,001),  при </w:t>
      </w:r>
      <w:r w:rsidRPr="00A11646">
        <w:rPr>
          <w:rFonts w:ascii="Times New Roman" w:hAnsi="Times New Roman"/>
          <w:sz w:val="28"/>
          <w:szCs w:val="28"/>
          <w:lang w:val="en-US"/>
        </w:rPr>
        <w:t>IgGλ</w:t>
      </w:r>
      <w:r w:rsidRPr="00A11646">
        <w:rPr>
          <w:rFonts w:ascii="Times New Roman" w:hAnsi="Times New Roman"/>
          <w:sz w:val="28"/>
          <w:szCs w:val="28"/>
        </w:rPr>
        <w:t xml:space="preserve"> – в 1,3 (95,9</w:t>
      </w:r>
      <w:r w:rsidRPr="00A11646">
        <w:rPr>
          <w:rFonts w:ascii="Times New Roman" w:eastAsia="Times New Roman" w:hAnsi="Times New Roman"/>
          <w:sz w:val="28"/>
          <w:szCs w:val="28"/>
        </w:rPr>
        <w:t>±3,3 г/л против 73,2±5,1 г/л; р&lt;0,01) и в 1,22</w:t>
      </w:r>
      <w:r w:rsidRPr="00A11646">
        <w:rPr>
          <w:rFonts w:ascii="Times New Roman" w:hAnsi="Times New Roman"/>
          <w:sz w:val="28"/>
          <w:szCs w:val="28"/>
        </w:rPr>
        <w:t>(3,3</w:t>
      </w:r>
      <w:r w:rsidRPr="00A11646">
        <w:rPr>
          <w:rFonts w:ascii="Times New Roman" w:eastAsia="Times New Roman" w:hAnsi="Times New Roman"/>
          <w:sz w:val="28"/>
          <w:szCs w:val="28"/>
        </w:rPr>
        <w:t>±0,11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2,7±0,17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 xml:space="preserve">/л; р&lt;0,05),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1,4 (113,0</w:t>
      </w:r>
      <w:r w:rsidRPr="00A11646">
        <w:rPr>
          <w:rFonts w:ascii="Times New Roman" w:eastAsia="Times New Roman" w:hAnsi="Times New Roman"/>
          <w:sz w:val="28"/>
          <w:szCs w:val="28"/>
        </w:rPr>
        <w:t xml:space="preserve">±11,2 г/л против </w:t>
      </w:r>
      <w:r w:rsidRPr="00A11646">
        <w:rPr>
          <w:rFonts w:ascii="Times New Roman" w:hAnsi="Times New Roman"/>
          <w:sz w:val="28"/>
          <w:szCs w:val="28"/>
        </w:rPr>
        <w:t>80,5</w:t>
      </w:r>
      <w:r w:rsidRPr="00A11646">
        <w:rPr>
          <w:rFonts w:ascii="Times New Roman" w:eastAsia="Times New Roman" w:hAnsi="Times New Roman"/>
          <w:sz w:val="28"/>
          <w:szCs w:val="28"/>
        </w:rPr>
        <w:t>±9,4 г/л; р&lt;0,01) и в 1,2</w:t>
      </w:r>
      <w:r w:rsidRPr="00A11646">
        <w:rPr>
          <w:rFonts w:ascii="Times New Roman" w:hAnsi="Times New Roman"/>
          <w:sz w:val="28"/>
          <w:szCs w:val="28"/>
        </w:rPr>
        <w:t>(3,8</w:t>
      </w:r>
      <w:r w:rsidRPr="00A11646">
        <w:rPr>
          <w:rFonts w:ascii="Times New Roman" w:eastAsia="Times New Roman" w:hAnsi="Times New Roman"/>
          <w:sz w:val="28"/>
          <w:szCs w:val="28"/>
        </w:rPr>
        <w:t>±0,25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3,2±0,31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р&gt;0,05),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1,5 (112,5</w:t>
      </w:r>
      <w:r w:rsidRPr="00A11646">
        <w:rPr>
          <w:rFonts w:ascii="Times New Roman" w:eastAsia="Times New Roman" w:hAnsi="Times New Roman"/>
          <w:sz w:val="28"/>
          <w:szCs w:val="28"/>
        </w:rPr>
        <w:t xml:space="preserve">±3,6 г/л против </w:t>
      </w:r>
      <w:r w:rsidRPr="00A11646">
        <w:rPr>
          <w:rFonts w:ascii="Times New Roman" w:hAnsi="Times New Roman"/>
          <w:sz w:val="28"/>
          <w:szCs w:val="28"/>
        </w:rPr>
        <w:t>75,0</w:t>
      </w:r>
      <w:r w:rsidRPr="00A11646">
        <w:rPr>
          <w:rFonts w:ascii="Times New Roman" w:eastAsia="Times New Roman" w:hAnsi="Times New Roman"/>
          <w:sz w:val="28"/>
          <w:szCs w:val="28"/>
        </w:rPr>
        <w:t xml:space="preserve">±6,7 г/л; р&lt;0,001) и в 1,52 </w:t>
      </w:r>
      <w:r w:rsidRPr="00A11646">
        <w:rPr>
          <w:rFonts w:ascii="Times New Roman" w:hAnsi="Times New Roman"/>
          <w:sz w:val="28"/>
          <w:szCs w:val="28"/>
        </w:rPr>
        <w:t>(4,1</w:t>
      </w:r>
      <w:r w:rsidRPr="00A11646">
        <w:rPr>
          <w:rFonts w:ascii="Times New Roman" w:eastAsia="Times New Roman" w:hAnsi="Times New Roman"/>
          <w:sz w:val="28"/>
          <w:szCs w:val="28"/>
        </w:rPr>
        <w:t>±0,03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2,7±0,21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 xml:space="preserve">/л; р&lt;0,001), при редких вариантах  в 1,3 </w:t>
      </w:r>
      <w:r w:rsidRPr="00A11646">
        <w:rPr>
          <w:rFonts w:ascii="Times New Roman" w:hAnsi="Times New Roman"/>
          <w:sz w:val="28"/>
          <w:szCs w:val="28"/>
        </w:rPr>
        <w:t>(106,5</w:t>
      </w:r>
      <w:r w:rsidRPr="00A11646">
        <w:rPr>
          <w:rFonts w:ascii="Times New Roman" w:eastAsia="Times New Roman" w:hAnsi="Times New Roman"/>
          <w:sz w:val="28"/>
          <w:szCs w:val="28"/>
        </w:rPr>
        <w:t xml:space="preserve">±3,0 г/л против </w:t>
      </w:r>
      <w:r w:rsidRPr="00A11646">
        <w:rPr>
          <w:rFonts w:ascii="Times New Roman" w:hAnsi="Times New Roman"/>
          <w:sz w:val="28"/>
          <w:szCs w:val="28"/>
        </w:rPr>
        <w:t>82,9</w:t>
      </w:r>
      <w:r w:rsidRPr="00A11646">
        <w:rPr>
          <w:rFonts w:ascii="Times New Roman" w:eastAsia="Times New Roman" w:hAnsi="Times New Roman"/>
          <w:sz w:val="28"/>
          <w:szCs w:val="28"/>
        </w:rPr>
        <w:t>±6,9 г/л; р&lt;0,01)  и в 1,2</w:t>
      </w:r>
      <w:r w:rsidRPr="00A11646">
        <w:rPr>
          <w:rFonts w:ascii="Times New Roman" w:hAnsi="Times New Roman"/>
          <w:sz w:val="28"/>
          <w:szCs w:val="28"/>
        </w:rPr>
        <w:t>(3,63</w:t>
      </w:r>
      <w:r w:rsidRPr="00A11646">
        <w:rPr>
          <w:rFonts w:ascii="Times New Roman" w:eastAsia="Times New Roman" w:hAnsi="Times New Roman"/>
          <w:sz w:val="28"/>
          <w:szCs w:val="28"/>
        </w:rPr>
        <w:t>±0,14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против 3,1±0,25 Х 10</w:t>
      </w:r>
      <w:r w:rsidRPr="00A11646">
        <w:rPr>
          <w:rFonts w:ascii="Times New Roman" w:eastAsia="Times New Roman" w:hAnsi="Times New Roman"/>
          <w:sz w:val="28"/>
          <w:szCs w:val="28"/>
          <w:vertAlign w:val="superscript"/>
        </w:rPr>
        <w:t>12</w:t>
      </w:r>
      <w:r w:rsidRPr="00A11646">
        <w:rPr>
          <w:rFonts w:ascii="Times New Roman" w:eastAsia="Times New Roman" w:hAnsi="Times New Roman"/>
          <w:sz w:val="28"/>
          <w:szCs w:val="28"/>
        </w:rPr>
        <w:t>/л; р&lt;0,05) раза соответственно.</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t>Сравнительная о</w:t>
      </w:r>
      <w:r w:rsidR="00BD388F">
        <w:rPr>
          <w:rFonts w:ascii="Times New Roman" w:hAnsi="Times New Roman"/>
          <w:sz w:val="28"/>
          <w:szCs w:val="28"/>
          <w:lang w:val="uz-Cyrl-UZ"/>
        </w:rPr>
        <w:t>ц</w:t>
      </w:r>
      <w:r w:rsidRPr="00A11646">
        <w:rPr>
          <w:rFonts w:ascii="Times New Roman" w:hAnsi="Times New Roman"/>
          <w:sz w:val="28"/>
          <w:szCs w:val="28"/>
          <w:lang w:val="uz-Cyrl-UZ"/>
        </w:rPr>
        <w:t xml:space="preserve">енка уровня Hb и эритроцитов в зависимости от иммунохимического варианта ММ после лечения в “А” подгруппе и “Б” подгруппе показало также некоторые отличия подчеркивающие эффективность лечения в подгруппе “Б”. В частности эти показатели превышали таковые после лечения в подгруппе “Б” по отношению к “А” подгруппе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в 1,1 (</w:t>
      </w:r>
      <w:r w:rsidRPr="00A11646">
        <w:rPr>
          <w:rFonts w:ascii="Times New Roman" w:eastAsia="Times New Roman" w:hAnsi="Times New Roman"/>
          <w:sz w:val="28"/>
          <w:szCs w:val="28"/>
        </w:rPr>
        <w:t xml:space="preserve"> р&lt;0,01) и в 1,2</w:t>
      </w:r>
      <w:r w:rsidRPr="00A11646">
        <w:rPr>
          <w:rFonts w:ascii="Times New Roman" w:hAnsi="Times New Roman"/>
          <w:sz w:val="28"/>
          <w:szCs w:val="28"/>
        </w:rPr>
        <w:t>(</w:t>
      </w:r>
      <w:r w:rsidRPr="00A11646">
        <w:rPr>
          <w:rFonts w:ascii="Times New Roman" w:eastAsia="Times New Roman" w:hAnsi="Times New Roman"/>
          <w:sz w:val="28"/>
          <w:szCs w:val="28"/>
        </w:rPr>
        <w:t xml:space="preserve">р&lt;0,05),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1,2 (</w:t>
      </w:r>
      <w:r w:rsidRPr="00A11646">
        <w:rPr>
          <w:rFonts w:ascii="Times New Roman" w:eastAsia="Times New Roman" w:hAnsi="Times New Roman"/>
          <w:sz w:val="28"/>
          <w:szCs w:val="28"/>
        </w:rPr>
        <w:t>р&gt;0,05) и в 1,05</w:t>
      </w:r>
      <w:r w:rsidRPr="00A11646">
        <w:rPr>
          <w:rFonts w:ascii="Times New Roman" w:hAnsi="Times New Roman"/>
          <w:sz w:val="28"/>
          <w:szCs w:val="28"/>
        </w:rPr>
        <w:t>(</w:t>
      </w:r>
      <w:r w:rsidRPr="00A11646">
        <w:rPr>
          <w:rFonts w:ascii="Times New Roman" w:eastAsia="Times New Roman" w:hAnsi="Times New Roman"/>
          <w:sz w:val="28"/>
          <w:szCs w:val="28"/>
        </w:rPr>
        <w:t>р&gt;0,05),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1,06 (</w:t>
      </w:r>
      <w:r w:rsidRPr="00A11646">
        <w:rPr>
          <w:rFonts w:ascii="Times New Roman" w:eastAsia="Times New Roman" w:hAnsi="Times New Roman"/>
          <w:sz w:val="28"/>
          <w:szCs w:val="28"/>
        </w:rPr>
        <w:t>р&gt;0,05) и в1,24</w:t>
      </w:r>
      <w:r w:rsidRPr="00A11646">
        <w:rPr>
          <w:rFonts w:ascii="Times New Roman" w:hAnsi="Times New Roman"/>
          <w:sz w:val="28"/>
          <w:szCs w:val="28"/>
        </w:rPr>
        <w:t>(</w:t>
      </w:r>
      <w:r w:rsidRPr="00A11646">
        <w:rPr>
          <w:rFonts w:ascii="Times New Roman" w:eastAsia="Times New Roman" w:hAnsi="Times New Roman"/>
          <w:sz w:val="28"/>
          <w:szCs w:val="28"/>
        </w:rPr>
        <w:t>р&lt;0,05), при редких вариантах  в 1,0</w:t>
      </w:r>
      <w:r w:rsidRPr="00A11646">
        <w:rPr>
          <w:rFonts w:ascii="Times New Roman" w:hAnsi="Times New Roman"/>
          <w:sz w:val="28"/>
          <w:szCs w:val="28"/>
        </w:rPr>
        <w:t>(</w:t>
      </w:r>
      <w:r w:rsidRPr="00A11646">
        <w:rPr>
          <w:rFonts w:ascii="Times New Roman" w:eastAsia="Times New Roman" w:hAnsi="Times New Roman"/>
          <w:sz w:val="28"/>
          <w:szCs w:val="28"/>
        </w:rPr>
        <w:t>р&lt;0,05)  и в 1,04</w:t>
      </w:r>
      <w:r w:rsidRPr="00A11646">
        <w:rPr>
          <w:rFonts w:ascii="Times New Roman" w:hAnsi="Times New Roman"/>
          <w:sz w:val="28"/>
          <w:szCs w:val="28"/>
        </w:rPr>
        <w:t>(</w:t>
      </w:r>
      <w:r w:rsidRPr="00A11646">
        <w:rPr>
          <w:rFonts w:ascii="Times New Roman" w:eastAsia="Times New Roman" w:hAnsi="Times New Roman"/>
          <w:sz w:val="28"/>
          <w:szCs w:val="28"/>
        </w:rPr>
        <w:t>р&gt;0,05) раза соответственно (рис.4.2.1.2. и рис. 4.2.1.3.).</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noProof/>
          <w:sz w:val="28"/>
          <w:szCs w:val="28"/>
        </w:rPr>
        <w:drawing>
          <wp:inline distT="0" distB="0" distL="0" distR="0">
            <wp:extent cx="5486400" cy="3056801"/>
            <wp:effectExtent l="0" t="0" r="0" b="1079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b/>
          <w:sz w:val="28"/>
          <w:szCs w:val="28"/>
        </w:rPr>
        <w:lastRenderedPageBreak/>
        <w:t>Рис. 4.2.1.2. Динамика концентрации гемоглобина до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noProof/>
          <w:sz w:val="28"/>
          <w:szCs w:val="28"/>
        </w:rPr>
        <w:drawing>
          <wp:inline distT="0" distB="0" distL="0" distR="0">
            <wp:extent cx="5486400" cy="3124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b/>
          <w:sz w:val="28"/>
          <w:szCs w:val="28"/>
        </w:rPr>
        <w:t xml:space="preserve">Рис. 4.2.1.3. Динамика концентрации </w:t>
      </w:r>
      <w:r w:rsidR="005A7F1A">
        <w:rPr>
          <w:rFonts w:ascii="Times New Roman" w:hAnsi="Times New Roman"/>
          <w:b/>
          <w:sz w:val="28"/>
          <w:szCs w:val="28"/>
          <w:lang w:val="uz-Cyrl-UZ"/>
        </w:rPr>
        <w:t>эритроцитов</w:t>
      </w:r>
      <w:r w:rsidRPr="00A11646">
        <w:rPr>
          <w:rFonts w:ascii="Times New Roman" w:hAnsi="Times New Roman"/>
          <w:b/>
          <w:sz w:val="28"/>
          <w:szCs w:val="28"/>
        </w:rPr>
        <w:t xml:space="preserve"> до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rPr>
        <w:t xml:space="preserve">Положительная динамика после лечения в отношении уровня гемоглобина и эритроцитов связана с улучшением состояния костно-мозгового кроветворения, которое наиболее эффективно происходило у больных «Б» подгруппы </w:t>
      </w:r>
      <w:r w:rsidRPr="00A11646">
        <w:rPr>
          <w:rFonts w:ascii="Times New Roman" w:hAnsi="Times New Roman"/>
          <w:sz w:val="28"/>
          <w:szCs w:val="28"/>
          <w:lang w:val="uz-Cyrl-UZ"/>
        </w:rPr>
        <w:t>(табл. 4.2.1.1.).</w:t>
      </w:r>
    </w:p>
    <w:p w:rsidR="00190E3E" w:rsidRPr="00A11646" w:rsidRDefault="00190E3E" w:rsidP="00190E3E">
      <w:pPr>
        <w:autoSpaceDE w:val="0"/>
        <w:autoSpaceDN w:val="0"/>
        <w:adjustRightInd w:val="0"/>
        <w:spacing w:after="0" w:line="360" w:lineRule="auto"/>
        <w:ind w:firstLine="708"/>
        <w:jc w:val="right"/>
        <w:rPr>
          <w:rFonts w:ascii="Times New Roman" w:hAnsi="Times New Roman"/>
          <w:b/>
          <w:sz w:val="28"/>
          <w:szCs w:val="28"/>
          <w:lang w:val="uz-Cyrl-UZ"/>
        </w:rPr>
      </w:pPr>
      <w:r w:rsidRPr="00A11646">
        <w:rPr>
          <w:rFonts w:ascii="Times New Roman" w:hAnsi="Times New Roman"/>
          <w:b/>
          <w:sz w:val="28"/>
          <w:szCs w:val="28"/>
          <w:lang w:val="uz-Cyrl-UZ"/>
        </w:rPr>
        <w:t>Таблица 4.2.1.1.</w:t>
      </w:r>
    </w:p>
    <w:p w:rsidR="00190E3E" w:rsidRPr="00A11646" w:rsidRDefault="00190E3E" w:rsidP="00190E3E">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Динамика показателей</w:t>
      </w:r>
      <w:r w:rsidR="00BD388F">
        <w:rPr>
          <w:rFonts w:ascii="Times New Roman" w:eastAsia="Times New Roman" w:hAnsi="Times New Roman"/>
          <w:b/>
          <w:sz w:val="28"/>
          <w:szCs w:val="28"/>
          <w:lang w:val="uz-Cyrl-UZ"/>
        </w:rPr>
        <w:t xml:space="preserve"> </w:t>
      </w:r>
      <w:r w:rsidRPr="00A11646">
        <w:rPr>
          <w:rFonts w:ascii="Times New Roman" w:eastAsia="Times New Roman" w:hAnsi="Times New Roman"/>
          <w:b/>
          <w:sz w:val="28"/>
          <w:szCs w:val="28"/>
        </w:rPr>
        <w:t>периферической</w:t>
      </w:r>
      <w:r w:rsidR="00BD388F">
        <w:rPr>
          <w:rFonts w:ascii="Times New Roman" w:eastAsia="Times New Roman" w:hAnsi="Times New Roman"/>
          <w:b/>
          <w:sz w:val="28"/>
          <w:szCs w:val="28"/>
          <w:lang w:val="uz-Cyrl-UZ"/>
        </w:rPr>
        <w:t xml:space="preserve"> </w:t>
      </w:r>
      <w:r w:rsidRPr="00A11646">
        <w:rPr>
          <w:rFonts w:ascii="Times New Roman" w:eastAsia="Times New Roman" w:hAnsi="Times New Roman"/>
          <w:b/>
          <w:sz w:val="28"/>
          <w:szCs w:val="28"/>
        </w:rPr>
        <w:t>крови</w:t>
      </w:r>
      <w:r w:rsidR="00BD388F">
        <w:rPr>
          <w:rFonts w:ascii="Times New Roman" w:eastAsia="Times New Roman" w:hAnsi="Times New Roman"/>
          <w:b/>
          <w:sz w:val="28"/>
          <w:szCs w:val="28"/>
          <w:lang w:val="uz-Cyrl-UZ"/>
        </w:rPr>
        <w:t xml:space="preserve"> </w:t>
      </w:r>
      <w:r w:rsidRPr="00A11646">
        <w:rPr>
          <w:rFonts w:ascii="Times New Roman" w:eastAsia="Times New Roman" w:hAnsi="Times New Roman"/>
          <w:b/>
          <w:sz w:val="28"/>
          <w:szCs w:val="28"/>
        </w:rPr>
        <w:t>после лечения у больных ММ в зависимости от иммунохимического варианта</w:t>
      </w:r>
    </w:p>
    <w:p w:rsidR="00190E3E" w:rsidRPr="00A11646" w:rsidRDefault="00190E3E" w:rsidP="00190E3E">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(М±</w:t>
      </w:r>
      <w:r w:rsidRPr="00A11646">
        <w:rPr>
          <w:rFonts w:ascii="Times New Roman" w:eastAsia="Times New Roman" w:hAnsi="Times New Roman"/>
          <w:b/>
          <w:sz w:val="28"/>
          <w:szCs w:val="28"/>
          <w:lang w:val="en-US"/>
        </w:rPr>
        <w:t>m)</w:t>
      </w:r>
    </w:p>
    <w:p w:rsidR="00190E3E" w:rsidRPr="00A11646" w:rsidRDefault="00190E3E" w:rsidP="00190E3E">
      <w:pPr>
        <w:spacing w:after="0" w:line="240" w:lineRule="auto"/>
        <w:jc w:val="center"/>
        <w:rPr>
          <w:rFonts w:ascii="Times New Roman" w:eastAsia="Times New Roman" w:hAnsi="Times New Roman"/>
          <w:b/>
          <w:sz w:val="28"/>
          <w:szCs w:val="28"/>
        </w:rPr>
      </w:pPr>
    </w:p>
    <w:tbl>
      <w:tblPr>
        <w:tblStyle w:val="a6"/>
        <w:tblW w:w="9351" w:type="dxa"/>
        <w:tblLayout w:type="fixed"/>
        <w:tblLook w:val="04A0"/>
      </w:tblPr>
      <w:tblGrid>
        <w:gridCol w:w="720"/>
        <w:gridCol w:w="627"/>
        <w:gridCol w:w="1767"/>
        <w:gridCol w:w="1417"/>
        <w:gridCol w:w="1701"/>
        <w:gridCol w:w="1418"/>
        <w:gridCol w:w="1701"/>
      </w:tblGrid>
      <w:tr w:rsidR="00A11646" w:rsidRPr="00A11646" w:rsidTr="00A11646">
        <w:trPr>
          <w:trHeight w:val="654"/>
        </w:trPr>
        <w:tc>
          <w:tcPr>
            <w:tcW w:w="1347" w:type="dxa"/>
            <w:gridSpan w:val="2"/>
            <w:vMerge w:val="restart"/>
            <w:vAlign w:val="center"/>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uz-Cyrl-UZ"/>
              </w:rPr>
              <w:t>Тип</w:t>
            </w:r>
            <w:r w:rsidRPr="00A11646">
              <w:rPr>
                <w:rFonts w:ascii="Times New Roman" w:eastAsia="Times New Roman" w:hAnsi="Times New Roman"/>
                <w:sz w:val="28"/>
                <w:szCs w:val="28"/>
                <w:lang w:val="en-US"/>
              </w:rPr>
              <w:t xml:space="preserve"> Ig</w:t>
            </w:r>
          </w:p>
        </w:tc>
        <w:tc>
          <w:tcPr>
            <w:tcW w:w="176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Гемоглобин, г/л</w:t>
            </w:r>
          </w:p>
        </w:tc>
        <w:tc>
          <w:tcPr>
            <w:tcW w:w="1417" w:type="dxa"/>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Эритроциты, </w:t>
            </w:r>
            <w:r w:rsidRPr="00A11646">
              <w:rPr>
                <w:rFonts w:ascii="Times New Roman" w:eastAsia="Times New Roman" w:hAnsi="Times New Roman"/>
                <w:sz w:val="28"/>
                <w:szCs w:val="28"/>
                <w:lang w:val="uz-Cyrl-UZ"/>
              </w:rPr>
              <w:t>Х10</w:t>
            </w:r>
            <w:r w:rsidRPr="00A11646">
              <w:rPr>
                <w:rFonts w:ascii="Times New Roman" w:eastAsia="Times New Roman" w:hAnsi="Times New Roman"/>
                <w:sz w:val="28"/>
                <w:szCs w:val="28"/>
                <w:vertAlign w:val="superscript"/>
                <w:lang w:val="uz-Cyrl-UZ"/>
              </w:rPr>
              <w:t>12</w:t>
            </w:r>
            <w:r w:rsidRPr="00A11646">
              <w:rPr>
                <w:rFonts w:ascii="Times New Roman" w:eastAsia="Times New Roman" w:hAnsi="Times New Roman"/>
                <w:sz w:val="28"/>
                <w:szCs w:val="28"/>
                <w:lang w:val="uz-Cyrl-UZ"/>
              </w:rPr>
              <w:t>/л</w:t>
            </w:r>
          </w:p>
        </w:tc>
        <w:tc>
          <w:tcPr>
            <w:tcW w:w="1701" w:type="dxa"/>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Тромбоциты, </w:t>
            </w:r>
            <w:r w:rsidRPr="00A11646">
              <w:rPr>
                <w:rFonts w:ascii="Times New Roman" w:eastAsia="Times New Roman" w:hAnsi="Times New Roman"/>
                <w:sz w:val="28"/>
                <w:szCs w:val="28"/>
                <w:lang w:val="uz-Cyrl-UZ"/>
              </w:rPr>
              <w:t>Х10</w:t>
            </w:r>
            <w:r w:rsidRPr="00A11646">
              <w:rPr>
                <w:rFonts w:ascii="Times New Roman" w:eastAsia="Times New Roman" w:hAnsi="Times New Roman"/>
                <w:sz w:val="28"/>
                <w:szCs w:val="28"/>
                <w:vertAlign w:val="superscript"/>
                <w:lang w:val="uz-Cyrl-UZ"/>
              </w:rPr>
              <w:t>9</w:t>
            </w:r>
            <w:r w:rsidRPr="00A11646">
              <w:rPr>
                <w:rFonts w:ascii="Times New Roman" w:eastAsia="Times New Roman" w:hAnsi="Times New Roman"/>
                <w:sz w:val="28"/>
                <w:szCs w:val="28"/>
                <w:lang w:val="uz-Cyrl-UZ"/>
              </w:rPr>
              <w:t>/л</w:t>
            </w:r>
          </w:p>
        </w:tc>
        <w:tc>
          <w:tcPr>
            <w:tcW w:w="1418"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 xml:space="preserve">Лейкоциты, </w:t>
            </w:r>
            <w:r w:rsidRPr="00A11646">
              <w:rPr>
                <w:rFonts w:ascii="Times New Roman" w:eastAsia="Times New Roman" w:hAnsi="Times New Roman"/>
                <w:sz w:val="28"/>
                <w:szCs w:val="28"/>
                <w:lang w:val="uz-Cyrl-UZ"/>
              </w:rPr>
              <w:t>Х10</w:t>
            </w:r>
            <w:r w:rsidRPr="00A11646">
              <w:rPr>
                <w:rFonts w:ascii="Times New Roman" w:eastAsia="Times New Roman" w:hAnsi="Times New Roman"/>
                <w:sz w:val="28"/>
                <w:szCs w:val="28"/>
                <w:vertAlign w:val="superscript"/>
                <w:lang w:val="uz-Cyrl-UZ"/>
              </w:rPr>
              <w:t>9</w:t>
            </w:r>
            <w:r w:rsidRPr="00A11646">
              <w:rPr>
                <w:rFonts w:ascii="Times New Roman" w:eastAsia="Times New Roman" w:hAnsi="Times New Roman"/>
                <w:sz w:val="28"/>
                <w:szCs w:val="28"/>
                <w:lang w:val="uz-Cyrl-UZ"/>
              </w:rPr>
              <w:t>/л</w:t>
            </w:r>
          </w:p>
        </w:tc>
        <w:tc>
          <w:tcPr>
            <w:tcW w:w="1701"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СОЭ, мм/ч</w:t>
            </w:r>
          </w:p>
        </w:tc>
      </w:tr>
      <w:tr w:rsidR="00A11646" w:rsidRPr="00A11646" w:rsidTr="00A11646">
        <w:trPr>
          <w:trHeight w:val="341"/>
        </w:trPr>
        <w:tc>
          <w:tcPr>
            <w:tcW w:w="1347" w:type="dxa"/>
            <w:gridSpan w:val="2"/>
            <w:vMerge/>
            <w:vAlign w:val="center"/>
          </w:tcPr>
          <w:p w:rsidR="00190E3E" w:rsidRPr="00A11646" w:rsidRDefault="00190E3E" w:rsidP="00A11646">
            <w:pPr>
              <w:jc w:val="center"/>
              <w:rPr>
                <w:rFonts w:ascii="Times New Roman" w:eastAsia="Times New Roman" w:hAnsi="Times New Roman"/>
                <w:sz w:val="28"/>
                <w:szCs w:val="28"/>
                <w:lang w:val="uz-Cyrl-UZ"/>
              </w:rPr>
            </w:pPr>
          </w:p>
        </w:tc>
        <w:tc>
          <w:tcPr>
            <w:tcW w:w="8004" w:type="dxa"/>
            <w:gridSpan w:val="5"/>
            <w:vAlign w:val="center"/>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«А» подгруппа</w:t>
            </w:r>
            <w:r w:rsidRPr="00A11646">
              <w:rPr>
                <w:rFonts w:ascii="Times New Roman" w:eastAsia="Times New Roman" w:hAnsi="Times New Roman"/>
                <w:sz w:val="28"/>
                <w:szCs w:val="28"/>
                <w:lang w:val="en-US"/>
              </w:rPr>
              <w:t>, (n=87)</w:t>
            </w:r>
          </w:p>
        </w:tc>
      </w:tr>
      <w:tr w:rsidR="00A11646" w:rsidRPr="00A11646" w:rsidTr="00A11646">
        <w:tc>
          <w:tcPr>
            <w:tcW w:w="720" w:type="dxa"/>
            <w:vMerge w:val="restart"/>
            <w:vAlign w:val="center"/>
          </w:tcPr>
          <w:p w:rsidR="00190E3E" w:rsidRPr="00A11646" w:rsidRDefault="00190E3E" w:rsidP="00A11646">
            <w:pPr>
              <w:jc w:val="center"/>
              <w:rPr>
                <w:rFonts w:ascii="Times New Roman" w:eastAsia="Times New Roman" w:hAnsi="Times New Roman"/>
                <w:sz w:val="28"/>
                <w:szCs w:val="28"/>
                <w:lang w:val="en-US"/>
              </w:rPr>
            </w:pPr>
            <w:bookmarkStart w:id="163" w:name="_Hlk6172911"/>
            <w:r w:rsidRPr="00A11646">
              <w:rPr>
                <w:rFonts w:ascii="Times New Roman" w:eastAsia="Times New Roman" w:hAnsi="Times New Roman"/>
                <w:sz w:val="28"/>
                <w:szCs w:val="28"/>
                <w:lang w:val="en-US"/>
              </w:rPr>
              <w:t>G</w:t>
            </w: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76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99,7±3,3**</w:t>
            </w:r>
          </w:p>
        </w:tc>
        <w:tc>
          <w:tcPr>
            <w:tcW w:w="141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3,3±0,11*</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169,3±13,2</w:t>
            </w:r>
          </w:p>
        </w:tc>
        <w:tc>
          <w:tcPr>
            <w:tcW w:w="1418"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6,1±0,60</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hAnsi="Times New Roman"/>
                <w:sz w:val="28"/>
                <w:szCs w:val="28"/>
              </w:rPr>
              <w:t>20,0±2,0***</w:t>
            </w:r>
          </w:p>
        </w:tc>
      </w:tr>
      <w:tr w:rsidR="00A11646" w:rsidRPr="00A11646" w:rsidTr="00A11646">
        <w:tc>
          <w:tcPr>
            <w:tcW w:w="720" w:type="dxa"/>
            <w:vMerge/>
            <w:vAlign w:val="center"/>
          </w:tcPr>
          <w:p w:rsidR="00190E3E" w:rsidRPr="00A11646" w:rsidRDefault="00190E3E" w:rsidP="00A11646">
            <w:pPr>
              <w:jc w:val="center"/>
              <w:rPr>
                <w:rFonts w:ascii="Times New Roman" w:eastAsia="Times New Roman" w:hAnsi="Times New Roman"/>
                <w:sz w:val="28"/>
                <w:szCs w:val="28"/>
              </w:rPr>
            </w:pP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76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98,9±6,4**</w:t>
            </w:r>
          </w:p>
        </w:tc>
        <w:tc>
          <w:tcPr>
            <w:tcW w:w="141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3,5±0,16**</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201,3±22,1*</w:t>
            </w:r>
          </w:p>
        </w:tc>
        <w:tc>
          <w:tcPr>
            <w:tcW w:w="1418"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5,5±0,62</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23,8 ±5,5**</w:t>
            </w:r>
          </w:p>
        </w:tc>
      </w:tr>
      <w:tr w:rsidR="00A11646" w:rsidRPr="00A11646" w:rsidTr="00A11646">
        <w:tc>
          <w:tcPr>
            <w:tcW w:w="720" w:type="dxa"/>
            <w:vMerge w:val="restart"/>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76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96,6±11,2</w:t>
            </w:r>
          </w:p>
        </w:tc>
        <w:tc>
          <w:tcPr>
            <w:tcW w:w="141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3,6±0,25</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198,5±7,1*</w:t>
            </w:r>
          </w:p>
        </w:tc>
        <w:tc>
          <w:tcPr>
            <w:tcW w:w="1418"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4,1±0,49</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56,0±12,8</w:t>
            </w:r>
          </w:p>
        </w:tc>
      </w:tr>
      <w:tr w:rsidR="00A11646" w:rsidRPr="00A11646" w:rsidTr="00A11646">
        <w:tc>
          <w:tcPr>
            <w:tcW w:w="720" w:type="dxa"/>
            <w:vMerge/>
            <w:vAlign w:val="center"/>
          </w:tcPr>
          <w:p w:rsidR="00190E3E" w:rsidRPr="00A11646" w:rsidRDefault="00190E3E" w:rsidP="00A11646">
            <w:pPr>
              <w:jc w:val="center"/>
              <w:rPr>
                <w:rFonts w:ascii="Times New Roman" w:eastAsia="Times New Roman" w:hAnsi="Times New Roman"/>
                <w:sz w:val="28"/>
                <w:szCs w:val="28"/>
              </w:rPr>
            </w:pP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76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92,7±8,3</w:t>
            </w:r>
          </w:p>
        </w:tc>
        <w:tc>
          <w:tcPr>
            <w:tcW w:w="141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3,3±0,25*</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rPr>
                <w:rFonts w:ascii="Times New Roman" w:eastAsia="Times New Roman" w:hAnsi="Times New Roman"/>
                <w:sz w:val="28"/>
                <w:szCs w:val="28"/>
                <w:lang w:val="uz-Cyrl-UZ"/>
              </w:rPr>
            </w:pPr>
            <w:r w:rsidRPr="00A11646">
              <w:rPr>
                <w:rFonts w:ascii="Times New Roman" w:hAnsi="Times New Roman"/>
                <w:sz w:val="28"/>
                <w:szCs w:val="28"/>
              </w:rPr>
              <w:t>193,5±24,4*</w:t>
            </w:r>
          </w:p>
        </w:tc>
        <w:tc>
          <w:tcPr>
            <w:tcW w:w="1418"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6,56±1,2</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39,1±9,2</w:t>
            </w:r>
          </w:p>
        </w:tc>
      </w:tr>
      <w:bookmarkEnd w:id="163"/>
      <w:tr w:rsidR="00A11646" w:rsidRPr="00A11646" w:rsidTr="00A11646">
        <w:tc>
          <w:tcPr>
            <w:tcW w:w="1347" w:type="dxa"/>
            <w:gridSpan w:val="2"/>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lastRenderedPageBreak/>
              <w:t>Редкие варианты</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hAnsi="Times New Roman"/>
                <w:sz w:val="28"/>
                <w:szCs w:val="28"/>
              </w:rPr>
              <w:t>105,9±6,6*</w:t>
            </w:r>
          </w:p>
        </w:tc>
        <w:tc>
          <w:tcPr>
            <w:tcW w:w="1417"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3,5±0,21</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164,2±18,8</w:t>
            </w:r>
          </w:p>
        </w:tc>
        <w:tc>
          <w:tcPr>
            <w:tcW w:w="141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4,5±0,57</w:t>
            </w:r>
          </w:p>
        </w:tc>
        <w:tc>
          <w:tcPr>
            <w:tcW w:w="1701" w:type="dxa"/>
            <w:tcBorders>
              <w:top w:val="nil"/>
              <w:left w:val="nil"/>
              <w:bottom w:val="single" w:sz="4" w:space="0" w:color="auto"/>
              <w:right w:val="single" w:sz="4" w:space="0" w:color="auto"/>
            </w:tcBorders>
            <w:shd w:val="clear" w:color="auto" w:fill="auto"/>
          </w:tcPr>
          <w:p w:rsidR="00190E3E" w:rsidRPr="00A11646" w:rsidRDefault="00190E3E" w:rsidP="00A11646">
            <w:pPr>
              <w:jc w:val="center"/>
              <w:rPr>
                <w:rFonts w:ascii="Times New Roman" w:eastAsia="Times New Roman" w:hAnsi="Times New Roman"/>
                <w:sz w:val="28"/>
                <w:szCs w:val="28"/>
              </w:rPr>
            </w:pPr>
            <w:r w:rsidRPr="00A11646">
              <w:rPr>
                <w:rFonts w:ascii="Times New Roman" w:hAnsi="Times New Roman"/>
                <w:sz w:val="28"/>
                <w:szCs w:val="28"/>
              </w:rPr>
              <w:t>22,1±5,1*</w:t>
            </w:r>
          </w:p>
        </w:tc>
      </w:tr>
      <w:tr w:rsidR="00A11646" w:rsidRPr="00A11646" w:rsidTr="00A11646">
        <w:tc>
          <w:tcPr>
            <w:tcW w:w="1347" w:type="dxa"/>
            <w:gridSpan w:val="2"/>
            <w:vAlign w:val="center"/>
          </w:tcPr>
          <w:p w:rsidR="00190E3E" w:rsidRPr="00A11646" w:rsidRDefault="00190E3E" w:rsidP="00A11646">
            <w:pPr>
              <w:jc w:val="center"/>
              <w:rPr>
                <w:rFonts w:ascii="Times New Roman" w:eastAsia="Times New Roman" w:hAnsi="Times New Roman"/>
                <w:sz w:val="28"/>
                <w:szCs w:val="28"/>
              </w:rPr>
            </w:pPr>
          </w:p>
        </w:tc>
        <w:tc>
          <w:tcPr>
            <w:tcW w:w="80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 xml:space="preserve">«Б» подгруппа, </w:t>
            </w:r>
            <w:r w:rsidRPr="00A11646">
              <w:rPr>
                <w:rFonts w:ascii="Times New Roman" w:eastAsia="Times New Roman" w:hAnsi="Times New Roman"/>
                <w:sz w:val="28"/>
                <w:szCs w:val="28"/>
                <w:lang w:val="en-US"/>
              </w:rPr>
              <w:t>(n=20)</w:t>
            </w:r>
          </w:p>
        </w:tc>
      </w:tr>
      <w:tr w:rsidR="00A11646" w:rsidRPr="00A11646" w:rsidTr="00A11646">
        <w:tc>
          <w:tcPr>
            <w:tcW w:w="720" w:type="dxa"/>
            <w:vMerge w:val="restart"/>
            <w:vAlign w:val="center"/>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lang w:val="en-US"/>
              </w:rPr>
              <w:t>G</w:t>
            </w: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76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111,1±4,2***</w:t>
            </w:r>
          </w:p>
        </w:tc>
        <w:tc>
          <w:tcPr>
            <w:tcW w:w="141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3,9±0,08***</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217,1±16,3*</w:t>
            </w:r>
          </w:p>
        </w:tc>
        <w:tc>
          <w:tcPr>
            <w:tcW w:w="141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8,2±2,02</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en-US"/>
              </w:rPr>
            </w:pPr>
            <w:r w:rsidRPr="00A11646">
              <w:rPr>
                <w:rFonts w:ascii="Times New Roman" w:eastAsia="Times New Roman" w:hAnsi="Times New Roman"/>
                <w:sz w:val="28"/>
                <w:szCs w:val="28"/>
              </w:rPr>
              <w:t>11,7±1,2***</w:t>
            </w:r>
          </w:p>
        </w:tc>
      </w:tr>
      <w:tr w:rsidR="00A11646" w:rsidRPr="00A11646" w:rsidTr="00A11646">
        <w:tc>
          <w:tcPr>
            <w:tcW w:w="720" w:type="dxa"/>
            <w:vMerge/>
            <w:vAlign w:val="center"/>
          </w:tcPr>
          <w:p w:rsidR="00190E3E" w:rsidRPr="00A11646" w:rsidRDefault="00190E3E" w:rsidP="00A11646">
            <w:pPr>
              <w:jc w:val="center"/>
              <w:rPr>
                <w:rFonts w:ascii="Times New Roman" w:eastAsia="Times New Roman" w:hAnsi="Times New Roman"/>
                <w:sz w:val="28"/>
                <w:szCs w:val="28"/>
              </w:rPr>
            </w:pP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76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95,9±3,3**</w:t>
            </w:r>
          </w:p>
        </w:tc>
        <w:tc>
          <w:tcPr>
            <w:tcW w:w="141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3,30,11*</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164,6±15,5</w:t>
            </w:r>
          </w:p>
        </w:tc>
        <w:tc>
          <w:tcPr>
            <w:tcW w:w="141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4,6±0,5</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33,0 ±5,8*</w:t>
            </w:r>
          </w:p>
        </w:tc>
      </w:tr>
      <w:tr w:rsidR="00A11646" w:rsidRPr="00A11646" w:rsidTr="00A11646">
        <w:tc>
          <w:tcPr>
            <w:tcW w:w="720" w:type="dxa"/>
            <w:vMerge w:val="restart"/>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76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113,0±3,7**</w:t>
            </w:r>
          </w:p>
        </w:tc>
        <w:tc>
          <w:tcPr>
            <w:tcW w:w="141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3,8±0,12</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144,0± 12,4</w:t>
            </w:r>
          </w:p>
        </w:tc>
        <w:tc>
          <w:tcPr>
            <w:tcW w:w="141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9,5±2,3**</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48,0±4,1</w:t>
            </w:r>
          </w:p>
        </w:tc>
      </w:tr>
      <w:tr w:rsidR="00A11646" w:rsidRPr="00A11646" w:rsidTr="00A11646">
        <w:tc>
          <w:tcPr>
            <w:tcW w:w="720" w:type="dxa"/>
            <w:vMerge/>
            <w:vAlign w:val="center"/>
          </w:tcPr>
          <w:p w:rsidR="00190E3E" w:rsidRPr="00A11646" w:rsidRDefault="00190E3E" w:rsidP="00A11646">
            <w:pPr>
              <w:jc w:val="center"/>
              <w:rPr>
                <w:rFonts w:ascii="Times New Roman" w:eastAsia="Times New Roman" w:hAnsi="Times New Roman"/>
                <w:sz w:val="28"/>
                <w:szCs w:val="28"/>
              </w:rPr>
            </w:pPr>
          </w:p>
        </w:tc>
        <w:tc>
          <w:tcPr>
            <w:tcW w:w="627" w:type="dxa"/>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76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112,5±3,6***</w:t>
            </w:r>
          </w:p>
        </w:tc>
        <w:tc>
          <w:tcPr>
            <w:tcW w:w="141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4,1±0,03</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187,0±33,8*</w:t>
            </w:r>
          </w:p>
        </w:tc>
        <w:tc>
          <w:tcPr>
            <w:tcW w:w="141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2,7±0,09</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12,5±0,8***</w:t>
            </w:r>
          </w:p>
        </w:tc>
      </w:tr>
      <w:tr w:rsidR="00A11646" w:rsidRPr="00A11646" w:rsidTr="00A11646">
        <w:tc>
          <w:tcPr>
            <w:tcW w:w="1347" w:type="dxa"/>
            <w:gridSpan w:val="2"/>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Редкие варианты</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106,5±3,0**</w:t>
            </w:r>
          </w:p>
        </w:tc>
        <w:tc>
          <w:tcPr>
            <w:tcW w:w="1417"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3,63±0,14</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185,5±37,8</w:t>
            </w:r>
          </w:p>
        </w:tc>
        <w:tc>
          <w:tcPr>
            <w:tcW w:w="141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7,45±1,2</w:t>
            </w:r>
          </w:p>
        </w:tc>
        <w:tc>
          <w:tcPr>
            <w:tcW w:w="1701"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jc w:val="center"/>
              <w:rPr>
                <w:rFonts w:ascii="Times New Roman" w:eastAsia="Times New Roman" w:hAnsi="Times New Roman"/>
                <w:sz w:val="28"/>
                <w:szCs w:val="28"/>
              </w:rPr>
            </w:pPr>
            <w:r w:rsidRPr="00A11646">
              <w:rPr>
                <w:rFonts w:ascii="Times New Roman" w:eastAsia="Times New Roman" w:hAnsi="Times New Roman"/>
                <w:sz w:val="28"/>
                <w:szCs w:val="28"/>
              </w:rPr>
              <w:t>36,5±3,6</w:t>
            </w:r>
          </w:p>
        </w:tc>
      </w:tr>
    </w:tbl>
    <w:p w:rsidR="00190E3E" w:rsidRPr="00A11646" w:rsidRDefault="00190E3E" w:rsidP="00190E3E">
      <w:pPr>
        <w:spacing w:after="0" w:line="240" w:lineRule="auto"/>
        <w:jc w:val="center"/>
        <w:rPr>
          <w:rFonts w:ascii="Times New Roman" w:eastAsia="Times New Roman" w:hAnsi="Times New Roman"/>
          <w:sz w:val="28"/>
          <w:szCs w:val="28"/>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bookmarkStart w:id="164" w:name="_Hlk7277632"/>
      <w:r w:rsidRPr="00A11646">
        <w:rPr>
          <w:rFonts w:ascii="Times New Roman" w:hAnsi="Times New Roman"/>
          <w:sz w:val="28"/>
          <w:szCs w:val="28"/>
          <w:lang w:val="uz-Cyrl-UZ"/>
        </w:rPr>
        <w:t xml:space="preserve">Изучение уровня тромбоцитов после лечения при различных   иммунохимических вариантах ММ  позволило отметить положительную динамику этого показателя по отношению к значениям до лечения. Так,  в “А” подгруппе уровень тромбоцитов превышал таковой до лечения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в 1,1 (169,3</w:t>
      </w:r>
      <w:r w:rsidRPr="00A11646">
        <w:rPr>
          <w:rFonts w:ascii="Times New Roman" w:eastAsia="Times New Roman" w:hAnsi="Times New Roman"/>
          <w:sz w:val="28"/>
          <w:szCs w:val="28"/>
        </w:rPr>
        <w:t>±13,2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157,3±11,1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р&gt;0,05),  при </w:t>
      </w:r>
      <w:r w:rsidRPr="00A11646">
        <w:rPr>
          <w:rFonts w:ascii="Times New Roman" w:hAnsi="Times New Roman"/>
          <w:sz w:val="28"/>
          <w:szCs w:val="28"/>
          <w:lang w:val="en-US"/>
        </w:rPr>
        <w:t>IgGλ</w:t>
      </w:r>
      <w:r w:rsidRPr="00A11646">
        <w:rPr>
          <w:rFonts w:ascii="Times New Roman" w:hAnsi="Times New Roman"/>
          <w:sz w:val="28"/>
          <w:szCs w:val="28"/>
        </w:rPr>
        <w:t xml:space="preserve"> – достоверно в 1,5 (201,3</w:t>
      </w:r>
      <w:r w:rsidRPr="00A11646">
        <w:rPr>
          <w:rFonts w:ascii="Times New Roman" w:eastAsia="Times New Roman" w:hAnsi="Times New Roman"/>
          <w:sz w:val="28"/>
          <w:szCs w:val="28"/>
        </w:rPr>
        <w:t>±22,1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134,3±15,0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р&lt;0,01),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1,4 (198,5</w:t>
      </w:r>
      <w:r w:rsidRPr="00A11646">
        <w:rPr>
          <w:rFonts w:ascii="Times New Roman" w:eastAsia="Times New Roman" w:hAnsi="Times New Roman"/>
          <w:sz w:val="28"/>
          <w:szCs w:val="28"/>
        </w:rPr>
        <w:t>±7,1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143,3±26,6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р&lt;0,05),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1,8 (193,5</w:t>
      </w:r>
      <w:r w:rsidRPr="00A11646">
        <w:rPr>
          <w:rFonts w:ascii="Times New Roman" w:eastAsia="Times New Roman" w:hAnsi="Times New Roman"/>
          <w:sz w:val="28"/>
          <w:szCs w:val="28"/>
        </w:rPr>
        <w:t>±24,4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107,2±18,5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р&lt;0,05). При редких же вариантах  наоборот уровень тромбоцитов до лечения превышал таковой после лечения в 1,04</w:t>
      </w:r>
      <w:r w:rsidRPr="00A11646">
        <w:rPr>
          <w:rFonts w:ascii="Times New Roman" w:hAnsi="Times New Roman"/>
          <w:sz w:val="28"/>
          <w:szCs w:val="28"/>
        </w:rPr>
        <w:t>(171,2</w:t>
      </w:r>
      <w:r w:rsidRPr="00A11646">
        <w:rPr>
          <w:rFonts w:ascii="Times New Roman" w:eastAsia="Times New Roman" w:hAnsi="Times New Roman"/>
          <w:sz w:val="28"/>
          <w:szCs w:val="28"/>
        </w:rPr>
        <w:t>±22,9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164,2±18,8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р&gt;0,05) раза, что вероятно связано с сохраняющейся депрессией тромбоцитопоэза после воздействия высокодозной ПХТ.</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t xml:space="preserve">В “Б” подгруппе уровень тромбоцитов имел значения првышающий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в 1,4 (217,1</w:t>
      </w:r>
      <w:r w:rsidRPr="00A11646">
        <w:rPr>
          <w:rFonts w:ascii="Times New Roman" w:eastAsia="Times New Roman" w:hAnsi="Times New Roman"/>
          <w:sz w:val="28"/>
          <w:szCs w:val="28"/>
        </w:rPr>
        <w:t>±16,3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157,3±11,1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р&lt;0,05),  при </w:t>
      </w:r>
      <w:r w:rsidRPr="00A11646">
        <w:rPr>
          <w:rFonts w:ascii="Times New Roman" w:hAnsi="Times New Roman"/>
          <w:sz w:val="28"/>
          <w:szCs w:val="28"/>
          <w:lang w:val="en-US"/>
        </w:rPr>
        <w:t>IgGλ</w:t>
      </w:r>
      <w:r w:rsidRPr="00A11646">
        <w:rPr>
          <w:rFonts w:ascii="Times New Roman" w:hAnsi="Times New Roman"/>
          <w:sz w:val="28"/>
          <w:szCs w:val="28"/>
        </w:rPr>
        <w:t xml:space="preserve"> – достоверно в 1,22 (164,6</w:t>
      </w:r>
      <w:r w:rsidRPr="00A11646">
        <w:rPr>
          <w:rFonts w:ascii="Times New Roman" w:eastAsia="Times New Roman" w:hAnsi="Times New Roman"/>
          <w:sz w:val="28"/>
          <w:szCs w:val="28"/>
        </w:rPr>
        <w:t>±15,5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134,3±15,0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р&gt;0,05),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1,0 (144,0</w:t>
      </w:r>
      <w:r w:rsidRPr="00A11646">
        <w:rPr>
          <w:rFonts w:ascii="Times New Roman" w:eastAsia="Times New Roman" w:hAnsi="Times New Roman"/>
          <w:sz w:val="28"/>
          <w:szCs w:val="28"/>
        </w:rPr>
        <w:t>±12,4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143,3±26,6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р&gt;0,05),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1,74 (187,0</w:t>
      </w:r>
      <w:r w:rsidRPr="00A11646">
        <w:rPr>
          <w:rFonts w:ascii="Times New Roman" w:eastAsia="Times New Roman" w:hAnsi="Times New Roman"/>
          <w:sz w:val="28"/>
          <w:szCs w:val="28"/>
        </w:rPr>
        <w:t>±33,8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107,2±18,5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 xml:space="preserve">/л; р&lt;0,05), при редких   вариантах  в 1,1  </w:t>
      </w:r>
      <w:r w:rsidRPr="00A11646">
        <w:rPr>
          <w:rFonts w:ascii="Times New Roman" w:hAnsi="Times New Roman"/>
          <w:sz w:val="28"/>
          <w:szCs w:val="28"/>
        </w:rPr>
        <w:t>(185,5</w:t>
      </w:r>
      <w:r w:rsidRPr="00A11646">
        <w:rPr>
          <w:rFonts w:ascii="Times New Roman" w:eastAsia="Times New Roman" w:hAnsi="Times New Roman"/>
          <w:sz w:val="28"/>
          <w:szCs w:val="28"/>
        </w:rPr>
        <w:t>±37,8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против 164,2±18,8 Х 10</w:t>
      </w:r>
      <w:r w:rsidRPr="00A11646">
        <w:rPr>
          <w:rFonts w:ascii="Times New Roman" w:eastAsia="Times New Roman" w:hAnsi="Times New Roman"/>
          <w:sz w:val="28"/>
          <w:szCs w:val="28"/>
          <w:vertAlign w:val="superscript"/>
        </w:rPr>
        <w:t>9</w:t>
      </w:r>
      <w:r w:rsidRPr="00A11646">
        <w:rPr>
          <w:rFonts w:ascii="Times New Roman" w:eastAsia="Times New Roman" w:hAnsi="Times New Roman"/>
          <w:sz w:val="28"/>
          <w:szCs w:val="28"/>
        </w:rPr>
        <w:t>/л; р&gt;0,05) раза.</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t>Сравнительная оценка уровня тромбоцитов в зависимости от метода после лечения в “А”  и “Б” подгруппахне выявила значительной разницы (табл. 4.2.1.2.).</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lastRenderedPageBreak/>
        <w:t>Со стороны количества лейкоцитов средни</w:t>
      </w:r>
      <w:r w:rsidR="00BD388F">
        <w:rPr>
          <w:rFonts w:ascii="Times New Roman" w:hAnsi="Times New Roman"/>
          <w:sz w:val="28"/>
          <w:szCs w:val="28"/>
          <w:lang w:val="uz-Cyrl-UZ"/>
        </w:rPr>
        <w:t>и</w:t>
      </w:r>
      <w:r w:rsidRPr="00A11646">
        <w:rPr>
          <w:rFonts w:ascii="Times New Roman" w:hAnsi="Times New Roman"/>
          <w:sz w:val="28"/>
          <w:szCs w:val="28"/>
        </w:rPr>
        <w:t xml:space="preserve"> значения сохранялись в пределах нормальных параметров как до лечения, так и после лечения </w:t>
      </w:r>
      <w:r w:rsidRPr="00A11646">
        <w:rPr>
          <w:rFonts w:ascii="Times New Roman" w:eastAsia="Times New Roman" w:hAnsi="Times New Roman"/>
          <w:sz w:val="28"/>
          <w:szCs w:val="28"/>
        </w:rPr>
        <w:t>(табл.4.2.1.2.).</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Сравнительный анализ  результатов уровня СОЭ у больных ММ в динамике определил довольно положительную тенденцию к ее снижению после лечения по отношению к исходным данным зарегистрированных до лечения</w:t>
      </w:r>
      <w:r w:rsidRPr="00A11646">
        <w:rPr>
          <w:rFonts w:ascii="Times New Roman" w:hAnsi="Times New Roman"/>
          <w:sz w:val="28"/>
          <w:szCs w:val="28"/>
        </w:rPr>
        <w:t>. Уровень СОЭ при иммунохимических вариантах ММ в «А» подгруппе составил меньшие значения</w:t>
      </w:r>
      <w:r w:rsidRPr="00A11646">
        <w:rPr>
          <w:rFonts w:ascii="Times New Roman" w:hAnsi="Times New Roman"/>
          <w:sz w:val="28"/>
          <w:szCs w:val="28"/>
          <w:lang w:val="uz-Cyrl-UZ"/>
        </w:rPr>
        <w:t xml:space="preserve">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–в 2,37 (20,0±2,0 мм/ч против </w:t>
      </w:r>
      <w:r w:rsidRPr="00A11646">
        <w:rPr>
          <w:rFonts w:ascii="Times New Roman" w:eastAsia="Times New Roman" w:hAnsi="Times New Roman"/>
          <w:sz w:val="28"/>
          <w:szCs w:val="28"/>
        </w:rPr>
        <w:t>47,4+4,0 мм/ч;</w:t>
      </w:r>
      <w:r w:rsidRPr="00A11646">
        <w:rPr>
          <w:rFonts w:ascii="Times New Roman" w:hAnsi="Times New Roman"/>
          <w:sz w:val="28"/>
          <w:szCs w:val="28"/>
        </w:rPr>
        <w:t xml:space="preserve">р&lt;0,001) </w:t>
      </w:r>
      <w:r w:rsidRPr="00A11646">
        <w:rPr>
          <w:rFonts w:ascii="Times New Roman" w:hAnsi="Times New Roman"/>
          <w:sz w:val="28"/>
          <w:szCs w:val="28"/>
          <w:lang w:val="en-US"/>
        </w:rPr>
        <w:t>IgGλ</w:t>
      </w:r>
      <w:r w:rsidRPr="00A11646">
        <w:rPr>
          <w:rFonts w:ascii="Times New Roman" w:hAnsi="Times New Roman"/>
          <w:sz w:val="28"/>
          <w:szCs w:val="28"/>
        </w:rPr>
        <w:t xml:space="preserve"> - в 2,03 (23,8±5,5 мм/ч против</w:t>
      </w:r>
      <w:r w:rsidRPr="00A11646">
        <w:rPr>
          <w:rFonts w:ascii="Times New Roman" w:hAnsi="Times New Roman"/>
          <w:sz w:val="28"/>
          <w:szCs w:val="28"/>
          <w:lang w:val="uz-Cyrl-UZ"/>
        </w:rPr>
        <w:t>48,2+5,1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р&lt;0,01),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–в 1,1 (23,8±5,5 мм/ч против </w:t>
      </w:r>
      <w:r w:rsidRPr="00A11646">
        <w:rPr>
          <w:rFonts w:ascii="Times New Roman" w:hAnsi="Times New Roman"/>
          <w:sz w:val="28"/>
          <w:szCs w:val="28"/>
          <w:lang w:val="uz-Cyrl-UZ"/>
        </w:rPr>
        <w:t>62,5+12,0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р&lt;0,01)</w:t>
      </w:r>
      <w:r w:rsidRPr="00A11646">
        <w:rPr>
          <w:rFonts w:ascii="Times New Roman" w:eastAsia="Times New Roman" w:hAnsi="Times New Roman"/>
          <w:sz w:val="28"/>
          <w:szCs w:val="28"/>
        </w:rPr>
        <w:t>;</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–в 1,4 (39,1±9,2 мм/ч против </w:t>
      </w:r>
      <w:r w:rsidRPr="00A11646">
        <w:rPr>
          <w:rFonts w:ascii="Times New Roman" w:hAnsi="Times New Roman"/>
          <w:sz w:val="28"/>
          <w:szCs w:val="28"/>
          <w:lang w:val="uz-Cyrl-UZ"/>
        </w:rPr>
        <w:t xml:space="preserve"> 54,2+7,0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р&lt;0,01)</w:t>
      </w:r>
      <w:r w:rsidRPr="00A11646">
        <w:rPr>
          <w:rFonts w:ascii="Times New Roman" w:eastAsia="Times New Roman" w:hAnsi="Times New Roman"/>
          <w:sz w:val="28"/>
          <w:szCs w:val="28"/>
        </w:rPr>
        <w:t>; при редких вариантах в 1,6 (22,1±5,1</w:t>
      </w:r>
      <w:r w:rsidRPr="00A11646">
        <w:rPr>
          <w:rFonts w:ascii="Times New Roman" w:hAnsi="Times New Roman"/>
          <w:sz w:val="28"/>
          <w:szCs w:val="28"/>
        </w:rPr>
        <w:t xml:space="preserve"> мм/ч против </w:t>
      </w:r>
      <w:r w:rsidRPr="00A11646">
        <w:rPr>
          <w:rFonts w:ascii="Times New Roman" w:hAnsi="Times New Roman"/>
          <w:sz w:val="28"/>
          <w:szCs w:val="28"/>
          <w:lang w:val="uz-Cyrl-UZ"/>
        </w:rPr>
        <w:t xml:space="preserve">  35,6±6,3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р&lt;0,01).</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Уровень СОЭ  в «Б» подгруппе </w:t>
      </w:r>
      <w:r w:rsidRPr="00A11646">
        <w:rPr>
          <w:rFonts w:ascii="Times New Roman" w:hAnsi="Times New Roman"/>
          <w:sz w:val="28"/>
          <w:szCs w:val="28"/>
          <w:lang w:val="uz-Cyrl-UZ"/>
        </w:rPr>
        <w:t xml:space="preserve">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в 4,05 (11,7±1,2 мм/ч против </w:t>
      </w:r>
      <w:r w:rsidRPr="00A11646">
        <w:rPr>
          <w:rFonts w:ascii="Times New Roman" w:eastAsia="Times New Roman" w:hAnsi="Times New Roman"/>
          <w:sz w:val="28"/>
          <w:szCs w:val="28"/>
        </w:rPr>
        <w:t>47,4+4,0 мм/ч;</w:t>
      </w:r>
      <w:r w:rsidRPr="00A11646">
        <w:rPr>
          <w:rFonts w:ascii="Times New Roman" w:hAnsi="Times New Roman"/>
          <w:sz w:val="28"/>
          <w:szCs w:val="28"/>
        </w:rPr>
        <w:t xml:space="preserve"> р&lt;0,001) </w:t>
      </w:r>
      <w:r w:rsidRPr="00A11646">
        <w:rPr>
          <w:rFonts w:ascii="Times New Roman" w:hAnsi="Times New Roman"/>
          <w:sz w:val="28"/>
          <w:szCs w:val="28"/>
          <w:lang w:val="en-US"/>
        </w:rPr>
        <w:t>IgGλ</w:t>
      </w:r>
      <w:r w:rsidRPr="00A11646">
        <w:rPr>
          <w:rFonts w:ascii="Times New Roman" w:hAnsi="Times New Roman"/>
          <w:sz w:val="28"/>
          <w:szCs w:val="28"/>
        </w:rPr>
        <w:t xml:space="preserve"> - в 1,5 (33,0±5,8 мм/ч против </w:t>
      </w:r>
      <w:r w:rsidRPr="00A11646">
        <w:rPr>
          <w:rFonts w:ascii="Times New Roman" w:hAnsi="Times New Roman"/>
          <w:sz w:val="28"/>
          <w:szCs w:val="28"/>
          <w:lang w:val="uz-Cyrl-UZ"/>
        </w:rPr>
        <w:t>48,2+5,1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р&lt;0,05),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1,3 (48,0±4,1 мм/ч против </w:t>
      </w:r>
      <w:r w:rsidRPr="00A11646">
        <w:rPr>
          <w:rFonts w:ascii="Times New Roman" w:hAnsi="Times New Roman"/>
          <w:sz w:val="28"/>
          <w:szCs w:val="28"/>
          <w:lang w:val="uz-Cyrl-UZ"/>
        </w:rPr>
        <w:t>62,5+12,0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р&gt;0,05)</w:t>
      </w:r>
      <w:r w:rsidRPr="00A11646">
        <w:rPr>
          <w:rFonts w:ascii="Times New Roman" w:eastAsia="Times New Roman" w:hAnsi="Times New Roman"/>
          <w:sz w:val="28"/>
          <w:szCs w:val="28"/>
        </w:rPr>
        <w:t>;</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1,5 (12,5±0,8 мм/ч против </w:t>
      </w:r>
      <w:r w:rsidRPr="00A11646">
        <w:rPr>
          <w:rFonts w:ascii="Times New Roman" w:hAnsi="Times New Roman"/>
          <w:sz w:val="28"/>
          <w:szCs w:val="28"/>
          <w:lang w:val="uz-Cyrl-UZ"/>
        </w:rPr>
        <w:t>54,2+7,0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р&lt;0,001)</w:t>
      </w:r>
      <w:r w:rsidRPr="00A11646">
        <w:rPr>
          <w:rFonts w:ascii="Times New Roman" w:eastAsia="Times New Roman" w:hAnsi="Times New Roman"/>
          <w:sz w:val="28"/>
          <w:szCs w:val="28"/>
        </w:rPr>
        <w:t>; при редких вариантах в 1,4 (36,5±3,6</w:t>
      </w:r>
      <w:r w:rsidRPr="00A11646">
        <w:rPr>
          <w:rFonts w:ascii="Times New Roman" w:hAnsi="Times New Roman"/>
          <w:sz w:val="28"/>
          <w:szCs w:val="28"/>
        </w:rPr>
        <w:t xml:space="preserve"> мм/ч против </w:t>
      </w:r>
      <w:r w:rsidRPr="00A11646">
        <w:rPr>
          <w:rFonts w:ascii="Times New Roman" w:hAnsi="Times New Roman"/>
          <w:sz w:val="28"/>
          <w:szCs w:val="28"/>
          <w:lang w:val="uz-Cyrl-UZ"/>
        </w:rPr>
        <w:t>35,6±6,3 мм/ч</w:t>
      </w:r>
      <w:r w:rsidRPr="00A11646">
        <w:rPr>
          <w:rFonts w:ascii="Times New Roman" w:eastAsia="Times New Roman" w:hAnsi="Times New Roman"/>
          <w:sz w:val="28"/>
          <w:szCs w:val="28"/>
        </w:rPr>
        <w:t>;</w:t>
      </w:r>
      <w:r w:rsidRPr="00A11646">
        <w:rPr>
          <w:rFonts w:ascii="Times New Roman" w:hAnsi="Times New Roman"/>
          <w:sz w:val="28"/>
          <w:szCs w:val="28"/>
        </w:rPr>
        <w:t xml:space="preserve"> р&gt;0,05).</w:t>
      </w:r>
    </w:p>
    <w:bookmarkEnd w:id="164"/>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Сранительный анализ уровня СОЭ до и после лечения представлен на  рис. 4.2.1.4.</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noProof/>
          <w:sz w:val="28"/>
          <w:szCs w:val="28"/>
        </w:rPr>
        <w:drawing>
          <wp:inline distT="0" distB="0" distL="0" distR="0">
            <wp:extent cx="5486400" cy="3017520"/>
            <wp:effectExtent l="0" t="0" r="0" b="1143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lang w:val="uz-Cyrl-UZ"/>
        </w:rPr>
        <w:lastRenderedPageBreak/>
        <w:t>Рис. 4.2.1.4. Сравнительный анализ уровня СОЭ до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bookmarkStart w:id="165" w:name="_Hlk7277651"/>
      <w:r w:rsidRPr="00A11646">
        <w:rPr>
          <w:rFonts w:ascii="Times New Roman" w:hAnsi="Times New Roman"/>
          <w:sz w:val="28"/>
          <w:szCs w:val="28"/>
          <w:lang w:val="uz-Cyrl-UZ"/>
        </w:rPr>
        <w:t>Снижение уровня СОЭ у больных после лечения</w:t>
      </w:r>
      <w:r w:rsidR="0075001E">
        <w:rPr>
          <w:rFonts w:ascii="Times New Roman" w:hAnsi="Times New Roman"/>
          <w:sz w:val="28"/>
          <w:szCs w:val="28"/>
          <w:lang w:val="uz-Cyrl-UZ"/>
        </w:rPr>
        <w:t xml:space="preserve"> </w:t>
      </w:r>
      <w:r w:rsidRPr="00A11646">
        <w:rPr>
          <w:rFonts w:ascii="Times New Roman" w:hAnsi="Times New Roman"/>
          <w:sz w:val="28"/>
          <w:szCs w:val="28"/>
          <w:lang w:val="uz-Cyrl-UZ"/>
        </w:rPr>
        <w:t>в обеих подгруппах</w:t>
      </w:r>
      <w:r w:rsidR="0075001E">
        <w:rPr>
          <w:rFonts w:ascii="Times New Roman" w:hAnsi="Times New Roman"/>
          <w:sz w:val="28"/>
          <w:szCs w:val="28"/>
          <w:lang w:val="uz-Cyrl-UZ"/>
        </w:rPr>
        <w:t xml:space="preserve"> </w:t>
      </w:r>
      <w:r w:rsidRPr="00A11646">
        <w:rPr>
          <w:rFonts w:ascii="Times New Roman" w:hAnsi="Times New Roman"/>
          <w:sz w:val="28"/>
          <w:szCs w:val="28"/>
          <w:lang w:val="uz-Cyrl-UZ"/>
        </w:rPr>
        <w:t>прежде всего связано с</w:t>
      </w:r>
      <w:r w:rsidR="0075001E">
        <w:rPr>
          <w:rFonts w:ascii="Times New Roman" w:hAnsi="Times New Roman"/>
          <w:sz w:val="28"/>
          <w:szCs w:val="28"/>
          <w:lang w:val="uz-Cyrl-UZ"/>
        </w:rPr>
        <w:t xml:space="preserve"> </w:t>
      </w:r>
      <w:r w:rsidRPr="00A11646">
        <w:rPr>
          <w:rFonts w:ascii="Times New Roman" w:hAnsi="Times New Roman"/>
          <w:sz w:val="28"/>
          <w:szCs w:val="28"/>
          <w:lang w:val="uz-Cyrl-UZ"/>
        </w:rPr>
        <w:t>уменьшением опухолевого клона и снижением им продукции патологического белка, в свою очередь эти данные подчеркивают эффективность проведенного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 xml:space="preserve">Наряду с изучением динамики показателей периферической крови мы провели морфологическое изучение мазка костного мозга после лечения, в частности в плане оценки эффективности проведенного лечения нам представлялся важным подсчет количества плазмоцитов. Исследование показало существенные сдвиги в динамике количества плазмоцитов после лечения по отношению к результатам до лечения. Уровень плазмоцитов </w:t>
      </w:r>
      <w:r w:rsidRPr="00A11646">
        <w:rPr>
          <w:rFonts w:ascii="Times New Roman" w:hAnsi="Times New Roman"/>
          <w:sz w:val="28"/>
          <w:szCs w:val="28"/>
        </w:rPr>
        <w:t xml:space="preserve">при иммунохимических вариантах ММ в «А» подгруппе снижался </w:t>
      </w:r>
      <w:r w:rsidRPr="00A11646">
        <w:rPr>
          <w:rFonts w:ascii="Times New Roman" w:hAnsi="Times New Roman"/>
          <w:sz w:val="28"/>
          <w:szCs w:val="28"/>
          <w:lang w:val="uz-Cyrl-UZ"/>
        </w:rPr>
        <w:t xml:space="preserve">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в 5,8 (6,5±1,2% против 37,5</w:t>
      </w:r>
      <w:r w:rsidRPr="00A11646">
        <w:rPr>
          <w:rFonts w:ascii="Times New Roman" w:eastAsia="Times New Roman" w:hAnsi="Times New Roman"/>
          <w:sz w:val="28"/>
          <w:szCs w:val="28"/>
        </w:rPr>
        <w:t>+3,4%;</w:t>
      </w:r>
      <w:r w:rsidRPr="00A11646">
        <w:rPr>
          <w:rFonts w:ascii="Times New Roman" w:hAnsi="Times New Roman"/>
          <w:sz w:val="28"/>
          <w:szCs w:val="28"/>
        </w:rPr>
        <w:t xml:space="preserve"> р&lt;0,001) </w:t>
      </w:r>
      <w:r w:rsidRPr="00A11646">
        <w:rPr>
          <w:rFonts w:ascii="Times New Roman" w:hAnsi="Times New Roman"/>
          <w:sz w:val="28"/>
          <w:szCs w:val="28"/>
          <w:lang w:val="en-US"/>
        </w:rPr>
        <w:t>IgGλ</w:t>
      </w:r>
      <w:r w:rsidRPr="00A11646">
        <w:rPr>
          <w:rFonts w:ascii="Times New Roman" w:hAnsi="Times New Roman"/>
          <w:sz w:val="28"/>
          <w:szCs w:val="28"/>
        </w:rPr>
        <w:t xml:space="preserve"> - в 4,6 (7,9±1,6% против 36</w:t>
      </w:r>
      <w:r w:rsidRPr="00A11646">
        <w:rPr>
          <w:rFonts w:ascii="Times New Roman" w:hAnsi="Times New Roman"/>
          <w:sz w:val="28"/>
          <w:szCs w:val="28"/>
          <w:lang w:val="uz-Cyrl-UZ"/>
        </w:rPr>
        <w:t>,2+5,6%</w:t>
      </w:r>
      <w:r w:rsidRPr="00A11646">
        <w:rPr>
          <w:rFonts w:ascii="Times New Roman" w:eastAsia="Times New Roman" w:hAnsi="Times New Roman"/>
          <w:sz w:val="28"/>
          <w:szCs w:val="28"/>
        </w:rPr>
        <w:t>;</w:t>
      </w:r>
      <w:r w:rsidRPr="00A11646">
        <w:rPr>
          <w:rFonts w:ascii="Times New Roman" w:hAnsi="Times New Roman"/>
          <w:sz w:val="28"/>
          <w:szCs w:val="28"/>
        </w:rPr>
        <w:t xml:space="preserve"> р&lt;0,001),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1,8 (19,9±8,0% против 36,4</w:t>
      </w:r>
      <w:r w:rsidRPr="00A11646">
        <w:rPr>
          <w:rFonts w:ascii="Times New Roman" w:hAnsi="Times New Roman"/>
          <w:sz w:val="28"/>
          <w:szCs w:val="28"/>
          <w:lang w:val="uz-Cyrl-UZ"/>
        </w:rPr>
        <w:t>+9,4%</w:t>
      </w:r>
      <w:r w:rsidRPr="00A11646">
        <w:rPr>
          <w:rFonts w:ascii="Times New Roman" w:eastAsia="Times New Roman" w:hAnsi="Times New Roman"/>
          <w:sz w:val="28"/>
          <w:szCs w:val="28"/>
        </w:rPr>
        <w:t>;</w:t>
      </w:r>
      <w:r w:rsidRPr="00A11646">
        <w:rPr>
          <w:rFonts w:ascii="Times New Roman" w:hAnsi="Times New Roman"/>
          <w:sz w:val="28"/>
          <w:szCs w:val="28"/>
        </w:rPr>
        <w:t xml:space="preserve"> р&lt;0,01)</w:t>
      </w:r>
      <w:r w:rsidRPr="00A11646">
        <w:rPr>
          <w:rFonts w:ascii="Times New Roman" w:eastAsia="Times New Roman" w:hAnsi="Times New Roman"/>
          <w:sz w:val="28"/>
          <w:szCs w:val="28"/>
        </w:rPr>
        <w:t>;</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2,0 (26,4±8,0% против </w:t>
      </w:r>
      <w:r w:rsidRPr="00A11646">
        <w:rPr>
          <w:rFonts w:ascii="Times New Roman" w:hAnsi="Times New Roman"/>
          <w:sz w:val="28"/>
          <w:szCs w:val="28"/>
          <w:lang w:val="uz-Cyrl-UZ"/>
        </w:rPr>
        <w:t>53,4±7,9%</w:t>
      </w:r>
      <w:r w:rsidRPr="00A11646">
        <w:rPr>
          <w:rFonts w:ascii="Times New Roman" w:eastAsia="Times New Roman" w:hAnsi="Times New Roman"/>
          <w:sz w:val="28"/>
          <w:szCs w:val="28"/>
        </w:rPr>
        <w:t>;</w:t>
      </w:r>
      <w:r w:rsidRPr="00A11646">
        <w:rPr>
          <w:rFonts w:ascii="Times New Roman" w:hAnsi="Times New Roman"/>
          <w:sz w:val="28"/>
          <w:szCs w:val="28"/>
        </w:rPr>
        <w:t xml:space="preserve"> р&lt;0,05)</w:t>
      </w:r>
      <w:r w:rsidRPr="00A11646">
        <w:rPr>
          <w:rFonts w:ascii="Times New Roman" w:eastAsia="Times New Roman" w:hAnsi="Times New Roman"/>
          <w:sz w:val="28"/>
          <w:szCs w:val="28"/>
        </w:rPr>
        <w:t>; при редких вариантах в 3,7 (9,0±2,8%</w:t>
      </w:r>
      <w:r w:rsidRPr="00A11646">
        <w:rPr>
          <w:rFonts w:ascii="Times New Roman" w:hAnsi="Times New Roman"/>
          <w:sz w:val="28"/>
          <w:szCs w:val="28"/>
        </w:rPr>
        <w:t xml:space="preserve"> против </w:t>
      </w:r>
      <w:r w:rsidRPr="00A11646">
        <w:rPr>
          <w:rFonts w:ascii="Times New Roman" w:hAnsi="Times New Roman"/>
          <w:sz w:val="28"/>
          <w:szCs w:val="28"/>
          <w:lang w:val="uz-Cyrl-UZ"/>
        </w:rPr>
        <w:t>33,3±6,3%</w:t>
      </w:r>
      <w:r w:rsidRPr="00A11646">
        <w:rPr>
          <w:rFonts w:ascii="Times New Roman" w:eastAsia="Times New Roman" w:hAnsi="Times New Roman"/>
          <w:sz w:val="28"/>
          <w:szCs w:val="28"/>
        </w:rPr>
        <w:t>;</w:t>
      </w:r>
      <w:r w:rsidRPr="00A11646">
        <w:rPr>
          <w:rFonts w:ascii="Times New Roman" w:hAnsi="Times New Roman"/>
          <w:sz w:val="28"/>
          <w:szCs w:val="28"/>
        </w:rPr>
        <w:t xml:space="preserve"> р&lt;0,01).</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t xml:space="preserve">В «Б» подгруппе плазмоциты составили </w:t>
      </w:r>
      <w:r w:rsidRPr="00A11646">
        <w:rPr>
          <w:rFonts w:ascii="Times New Roman" w:hAnsi="Times New Roman"/>
          <w:sz w:val="28"/>
          <w:szCs w:val="28"/>
          <w:lang w:val="uz-Cyrl-UZ"/>
        </w:rPr>
        <w:t xml:space="preserve">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1,2±0,4% против 37,5</w:t>
      </w:r>
      <w:r w:rsidRPr="00A11646">
        <w:rPr>
          <w:rFonts w:ascii="Times New Roman" w:eastAsia="Times New Roman" w:hAnsi="Times New Roman"/>
          <w:sz w:val="28"/>
          <w:szCs w:val="28"/>
        </w:rPr>
        <w:t>+3,4% (</w:t>
      </w:r>
      <w:r w:rsidRPr="00A11646">
        <w:rPr>
          <w:rFonts w:ascii="Times New Roman" w:hAnsi="Times New Roman"/>
          <w:sz w:val="28"/>
          <w:szCs w:val="28"/>
        </w:rPr>
        <w:t xml:space="preserve">р&lt;0,001) </w:t>
      </w:r>
      <w:r w:rsidRPr="00A11646">
        <w:rPr>
          <w:rFonts w:ascii="Times New Roman" w:hAnsi="Times New Roman"/>
          <w:sz w:val="28"/>
          <w:szCs w:val="28"/>
          <w:lang w:val="en-US"/>
        </w:rPr>
        <w:t>IgGλ</w:t>
      </w:r>
      <w:r w:rsidRPr="00A11646">
        <w:rPr>
          <w:rFonts w:ascii="Times New Roman" w:hAnsi="Times New Roman"/>
          <w:sz w:val="28"/>
          <w:szCs w:val="28"/>
        </w:rPr>
        <w:t xml:space="preserve"> – 2,3±0,6% против 36</w:t>
      </w:r>
      <w:r w:rsidRPr="00A11646">
        <w:rPr>
          <w:rFonts w:ascii="Times New Roman" w:hAnsi="Times New Roman"/>
          <w:sz w:val="28"/>
          <w:szCs w:val="28"/>
          <w:lang w:val="uz-Cyrl-UZ"/>
        </w:rPr>
        <w:t>,2+5,6% (</w:t>
      </w:r>
      <w:r w:rsidRPr="00A11646">
        <w:rPr>
          <w:rFonts w:ascii="Times New Roman" w:hAnsi="Times New Roman"/>
          <w:sz w:val="28"/>
          <w:szCs w:val="28"/>
        </w:rPr>
        <w:t xml:space="preserve">р&lt;0,001),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0±0% против 36,4</w:t>
      </w:r>
      <w:r w:rsidRPr="00A11646">
        <w:rPr>
          <w:rFonts w:ascii="Times New Roman" w:hAnsi="Times New Roman"/>
          <w:sz w:val="28"/>
          <w:szCs w:val="28"/>
          <w:lang w:val="uz-Cyrl-UZ"/>
        </w:rPr>
        <w:t>+9,4% (</w:t>
      </w:r>
      <w:r w:rsidRPr="00A11646">
        <w:rPr>
          <w:rFonts w:ascii="Times New Roman" w:hAnsi="Times New Roman"/>
          <w:sz w:val="28"/>
          <w:szCs w:val="28"/>
        </w:rPr>
        <w:t>р&lt;0,01)</w:t>
      </w:r>
      <w:r w:rsidRPr="00A11646">
        <w:rPr>
          <w:rFonts w:ascii="Times New Roman" w:eastAsia="Times New Roman" w:hAnsi="Times New Roman"/>
          <w:sz w:val="28"/>
          <w:szCs w:val="28"/>
        </w:rPr>
        <w:t>;</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1,0±0,3% против </w:t>
      </w:r>
      <w:r w:rsidRPr="00A11646">
        <w:rPr>
          <w:rFonts w:ascii="Times New Roman" w:hAnsi="Times New Roman"/>
          <w:sz w:val="28"/>
          <w:szCs w:val="28"/>
          <w:lang w:val="uz-Cyrl-UZ"/>
        </w:rPr>
        <w:t xml:space="preserve"> 53,4±7,9% (</w:t>
      </w:r>
      <w:r w:rsidRPr="00A11646">
        <w:rPr>
          <w:rFonts w:ascii="Times New Roman" w:hAnsi="Times New Roman"/>
          <w:sz w:val="28"/>
          <w:szCs w:val="28"/>
        </w:rPr>
        <w:t>р&lt;0,001)</w:t>
      </w:r>
      <w:r w:rsidRPr="00A11646">
        <w:rPr>
          <w:rFonts w:ascii="Times New Roman" w:eastAsia="Times New Roman" w:hAnsi="Times New Roman"/>
          <w:sz w:val="28"/>
          <w:szCs w:val="28"/>
        </w:rPr>
        <w:t>; при редких вариантах 0,05±0,02%</w:t>
      </w:r>
      <w:r w:rsidRPr="00A11646">
        <w:rPr>
          <w:rFonts w:ascii="Times New Roman" w:hAnsi="Times New Roman"/>
          <w:sz w:val="28"/>
          <w:szCs w:val="28"/>
        </w:rPr>
        <w:t xml:space="preserve"> против </w:t>
      </w:r>
      <w:r w:rsidRPr="00A11646">
        <w:rPr>
          <w:rFonts w:ascii="Times New Roman" w:hAnsi="Times New Roman"/>
          <w:sz w:val="28"/>
          <w:szCs w:val="28"/>
          <w:lang w:val="uz-Cyrl-UZ"/>
        </w:rPr>
        <w:t xml:space="preserve"> 33,3±6,3%</w:t>
      </w:r>
      <w:r w:rsidRPr="00A11646">
        <w:rPr>
          <w:rFonts w:ascii="Times New Roman" w:eastAsia="Times New Roman" w:hAnsi="Times New Roman"/>
          <w:sz w:val="28"/>
          <w:szCs w:val="28"/>
        </w:rPr>
        <w:t xml:space="preserve"> (</w:t>
      </w:r>
      <w:r w:rsidRPr="00A11646">
        <w:rPr>
          <w:rFonts w:ascii="Times New Roman" w:hAnsi="Times New Roman"/>
          <w:sz w:val="28"/>
          <w:szCs w:val="28"/>
        </w:rPr>
        <w:t>р&lt;0,01) (рис.4.2.1.5.).</w:t>
      </w:r>
    </w:p>
    <w:bookmarkEnd w:id="165"/>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noProof/>
          <w:sz w:val="28"/>
          <w:szCs w:val="28"/>
        </w:rPr>
        <w:lastRenderedPageBreak/>
        <w:drawing>
          <wp:inline distT="0" distB="0" distL="0" distR="0">
            <wp:extent cx="5486400" cy="2987040"/>
            <wp:effectExtent l="0" t="0" r="0" b="381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A11646">
        <w:rPr>
          <w:rFonts w:ascii="Times New Roman" w:hAnsi="Times New Roman"/>
          <w:b/>
          <w:sz w:val="28"/>
          <w:szCs w:val="28"/>
        </w:rPr>
        <w:t>Рис.4.2.1.5. Сравнительный анализ уровня плазмоцитов после лечения в подгруппах А и Б.</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bookmarkStart w:id="166" w:name="_Hlk7277665"/>
      <w:r w:rsidRPr="00A11646">
        <w:rPr>
          <w:rFonts w:ascii="Times New Roman" w:hAnsi="Times New Roman"/>
          <w:sz w:val="28"/>
          <w:szCs w:val="28"/>
          <w:lang w:val="uz-Cyrl-UZ"/>
        </w:rPr>
        <w:t xml:space="preserve">Таким образом, анализ результатов исследования показателей периферической крови и плазмоцитов в костном мозге, показал  что проведенные методы лечения в обеих подгруппах положительно оказывают влияние на их состояние. В частности, в результате лечения наблюдались  прирост гемоглобина, эритроцитов и тромбоцитов, снижение СОЭ, а также уровня плазмоцитов. Однако из приведенных выше данных очевидна большая эффективность лечения с применением схемы </w:t>
      </w:r>
      <w:r w:rsidRPr="00A11646">
        <w:rPr>
          <w:rFonts w:ascii="Times New Roman" w:hAnsi="Times New Roman"/>
          <w:sz w:val="28"/>
          <w:szCs w:val="28"/>
          <w:lang w:val="en-US"/>
        </w:rPr>
        <w:t>VCD</w:t>
      </w:r>
      <w:r w:rsidRPr="00A11646">
        <w:rPr>
          <w:rFonts w:ascii="Times New Roman" w:hAnsi="Times New Roman"/>
          <w:sz w:val="28"/>
          <w:szCs w:val="28"/>
        </w:rPr>
        <w:t>+аутоТГСК. Об этом свидетельствуют наиболее значимые изменения со стороны изученных показателей</w:t>
      </w:r>
      <w:r w:rsidRPr="00A11646">
        <w:rPr>
          <w:rFonts w:ascii="Times New Roman" w:hAnsi="Times New Roman"/>
          <w:sz w:val="28"/>
          <w:szCs w:val="28"/>
          <w:lang w:val="uz-Cyrl-UZ"/>
        </w:rPr>
        <w:t xml:space="preserve">. </w:t>
      </w:r>
    </w:p>
    <w:bookmarkEnd w:id="166"/>
    <w:p w:rsidR="00190E3E" w:rsidRPr="00A11646" w:rsidRDefault="00190E3E" w:rsidP="00190E3E">
      <w:pPr>
        <w:autoSpaceDE w:val="0"/>
        <w:autoSpaceDN w:val="0"/>
        <w:adjustRightInd w:val="0"/>
        <w:spacing w:after="0" w:line="360" w:lineRule="auto"/>
        <w:ind w:firstLine="708"/>
        <w:jc w:val="center"/>
        <w:rPr>
          <w:rFonts w:ascii="Times New Roman" w:hAnsi="Times New Roman"/>
          <w:b/>
          <w:sz w:val="28"/>
          <w:szCs w:val="28"/>
          <w:lang w:val="uz-Cyrl-UZ"/>
        </w:rPr>
      </w:pPr>
    </w:p>
    <w:p w:rsidR="00190E3E" w:rsidRPr="00A11646" w:rsidRDefault="00190E3E" w:rsidP="00190E3E">
      <w:pPr>
        <w:autoSpaceDE w:val="0"/>
        <w:autoSpaceDN w:val="0"/>
        <w:adjustRightInd w:val="0"/>
        <w:spacing w:after="0" w:line="360" w:lineRule="auto"/>
        <w:ind w:firstLine="708"/>
        <w:jc w:val="center"/>
        <w:rPr>
          <w:rFonts w:ascii="Times New Roman" w:hAnsi="Times New Roman"/>
          <w:b/>
          <w:sz w:val="28"/>
          <w:szCs w:val="28"/>
          <w:lang w:val="uz-Cyrl-UZ"/>
        </w:rPr>
      </w:pPr>
      <w:bookmarkStart w:id="167" w:name="_Hlk8242775"/>
      <w:r w:rsidRPr="00A11646">
        <w:rPr>
          <w:rFonts w:ascii="Times New Roman" w:hAnsi="Times New Roman"/>
          <w:b/>
          <w:sz w:val="28"/>
          <w:szCs w:val="28"/>
          <w:lang w:val="uz-Cyrl-UZ"/>
        </w:rPr>
        <w:t>4.2.2. Состояние биохимических показателей крови и мочи у больных ММ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bookmarkStart w:id="168" w:name="_Hlk7277679"/>
      <w:bookmarkEnd w:id="167"/>
      <w:r w:rsidRPr="00A11646">
        <w:rPr>
          <w:rFonts w:ascii="Times New Roman" w:hAnsi="Times New Roman"/>
          <w:sz w:val="28"/>
          <w:szCs w:val="28"/>
          <w:lang w:val="uz-Cyrl-UZ"/>
        </w:rPr>
        <w:t xml:space="preserve">Анализ результатов </w:t>
      </w:r>
      <w:r w:rsidRPr="00A11646">
        <w:rPr>
          <w:rFonts w:ascii="Times New Roman" w:hAnsi="Times New Roman"/>
          <w:sz w:val="28"/>
          <w:szCs w:val="28"/>
        </w:rPr>
        <w:t>биохимических</w:t>
      </w:r>
      <w:r w:rsidRPr="00A11646">
        <w:rPr>
          <w:rFonts w:ascii="Times New Roman" w:hAnsi="Times New Roman"/>
          <w:sz w:val="28"/>
          <w:szCs w:val="28"/>
          <w:lang w:val="uz-Cyrl-UZ"/>
        </w:rPr>
        <w:t xml:space="preserve"> показателей</w:t>
      </w:r>
      <w:r w:rsidR="00354964">
        <w:rPr>
          <w:rFonts w:ascii="Times New Roman" w:hAnsi="Times New Roman"/>
          <w:sz w:val="28"/>
          <w:szCs w:val="28"/>
          <w:lang w:val="uz-Cyrl-UZ"/>
        </w:rPr>
        <w:t xml:space="preserve"> </w:t>
      </w:r>
      <w:r w:rsidRPr="00A11646">
        <w:rPr>
          <w:rFonts w:ascii="Times New Roman" w:hAnsi="Times New Roman"/>
          <w:sz w:val="28"/>
          <w:szCs w:val="28"/>
        </w:rPr>
        <w:t>крови</w:t>
      </w:r>
      <w:r w:rsidR="00354964">
        <w:rPr>
          <w:rFonts w:ascii="Times New Roman" w:hAnsi="Times New Roman"/>
          <w:sz w:val="28"/>
          <w:szCs w:val="28"/>
          <w:lang w:val="uz-Cyrl-UZ"/>
        </w:rPr>
        <w:t xml:space="preserve"> </w:t>
      </w:r>
      <w:r w:rsidRPr="00A11646">
        <w:rPr>
          <w:rFonts w:ascii="Times New Roman" w:hAnsi="Times New Roman"/>
          <w:sz w:val="28"/>
          <w:szCs w:val="28"/>
        </w:rPr>
        <w:t>после лечения показал положительные динамические изменения в отношении с результатами этих показателей до лечения. В обеих подгруппах «А» и «Б» эти сдвиги характеризовались</w:t>
      </w:r>
      <w:r w:rsidR="00354964">
        <w:rPr>
          <w:rFonts w:ascii="Times New Roman" w:hAnsi="Times New Roman"/>
          <w:sz w:val="28"/>
          <w:szCs w:val="28"/>
          <w:lang w:val="uz-Cyrl-UZ"/>
        </w:rPr>
        <w:t xml:space="preserve"> </w:t>
      </w:r>
      <w:r w:rsidRPr="00A11646">
        <w:rPr>
          <w:rFonts w:ascii="Times New Roman" w:hAnsi="Times New Roman"/>
          <w:sz w:val="28"/>
          <w:szCs w:val="28"/>
        </w:rPr>
        <w:t>снижением</w:t>
      </w:r>
      <w:r w:rsidR="00354964">
        <w:rPr>
          <w:rFonts w:ascii="Times New Roman" w:hAnsi="Times New Roman"/>
          <w:sz w:val="28"/>
          <w:szCs w:val="28"/>
          <w:lang w:val="uz-Cyrl-UZ"/>
        </w:rPr>
        <w:t xml:space="preserve"> </w:t>
      </w:r>
      <w:r w:rsidRPr="00A11646">
        <w:rPr>
          <w:rFonts w:ascii="Times New Roman" w:hAnsi="Times New Roman"/>
          <w:sz w:val="28"/>
          <w:szCs w:val="28"/>
        </w:rPr>
        <w:t>уровня</w:t>
      </w:r>
      <w:r w:rsidR="00354964">
        <w:rPr>
          <w:rFonts w:ascii="Times New Roman" w:hAnsi="Times New Roman"/>
          <w:sz w:val="28"/>
          <w:szCs w:val="28"/>
          <w:lang w:val="uz-Cyrl-UZ"/>
        </w:rPr>
        <w:t xml:space="preserve"> </w:t>
      </w:r>
      <w:r w:rsidRPr="00A11646">
        <w:rPr>
          <w:rFonts w:ascii="Times New Roman" w:hAnsi="Times New Roman"/>
          <w:sz w:val="28"/>
          <w:szCs w:val="28"/>
        </w:rPr>
        <w:t>общего белка, γ – и β</w:t>
      </w:r>
      <w:r w:rsidRPr="00A11646">
        <w:rPr>
          <w:rFonts w:ascii="Times New Roman" w:hAnsi="Times New Roman"/>
          <w:sz w:val="28"/>
          <w:szCs w:val="28"/>
          <w:vertAlign w:val="subscript"/>
        </w:rPr>
        <w:t>2</w:t>
      </w:r>
      <w:r w:rsidRPr="00A11646">
        <w:rPr>
          <w:rFonts w:ascii="Times New Roman" w:hAnsi="Times New Roman"/>
          <w:sz w:val="28"/>
          <w:szCs w:val="28"/>
        </w:rPr>
        <w:t xml:space="preserve"> – микроглобулинов, уровня креатинина, и мочевины</w:t>
      </w:r>
      <w:bookmarkEnd w:id="168"/>
      <w:r w:rsidR="008676C8">
        <w:rPr>
          <w:rFonts w:ascii="Times New Roman" w:hAnsi="Times New Roman"/>
          <w:sz w:val="28"/>
          <w:szCs w:val="28"/>
          <w:lang w:val="uz-Cyrl-UZ"/>
        </w:rPr>
        <w:t xml:space="preserve"> </w:t>
      </w:r>
      <w:r w:rsidRPr="00A11646">
        <w:rPr>
          <w:rFonts w:ascii="Times New Roman" w:hAnsi="Times New Roman"/>
          <w:sz w:val="28"/>
          <w:szCs w:val="28"/>
        </w:rPr>
        <w:t>(табл. 4.2.2.1.).</w:t>
      </w:r>
    </w:p>
    <w:p w:rsidR="00190E3E" w:rsidRPr="00A11646" w:rsidRDefault="00190E3E" w:rsidP="00190E3E">
      <w:pPr>
        <w:spacing w:after="0" w:line="240" w:lineRule="auto"/>
        <w:jc w:val="right"/>
        <w:rPr>
          <w:rFonts w:ascii="Times New Roman" w:eastAsia="Times New Roman" w:hAnsi="Times New Roman"/>
          <w:b/>
          <w:sz w:val="28"/>
          <w:szCs w:val="28"/>
        </w:rPr>
      </w:pPr>
    </w:p>
    <w:p w:rsidR="00190E3E" w:rsidRPr="00A11646" w:rsidRDefault="00190E3E" w:rsidP="00190E3E">
      <w:pPr>
        <w:spacing w:after="0" w:line="240" w:lineRule="auto"/>
        <w:jc w:val="right"/>
        <w:rPr>
          <w:rFonts w:ascii="Times New Roman" w:eastAsia="Times New Roman" w:hAnsi="Times New Roman"/>
          <w:b/>
          <w:sz w:val="28"/>
          <w:szCs w:val="28"/>
        </w:rPr>
      </w:pPr>
      <w:r w:rsidRPr="00A11646">
        <w:rPr>
          <w:rFonts w:ascii="Times New Roman" w:eastAsia="Times New Roman" w:hAnsi="Times New Roman"/>
          <w:b/>
          <w:sz w:val="28"/>
          <w:szCs w:val="28"/>
        </w:rPr>
        <w:lastRenderedPageBreak/>
        <w:t>Таблица.4.2.2.1.</w:t>
      </w:r>
    </w:p>
    <w:p w:rsidR="00190E3E" w:rsidRPr="00A11646" w:rsidRDefault="00190E3E" w:rsidP="00190E3E">
      <w:pPr>
        <w:spacing w:after="0" w:line="240" w:lineRule="auto"/>
        <w:jc w:val="right"/>
        <w:rPr>
          <w:rFonts w:ascii="Times New Roman" w:eastAsia="Times New Roman" w:hAnsi="Times New Roman"/>
          <w:b/>
          <w:sz w:val="28"/>
          <w:szCs w:val="28"/>
        </w:rPr>
      </w:pPr>
    </w:p>
    <w:p w:rsidR="00190E3E" w:rsidRPr="00A11646" w:rsidRDefault="00190E3E" w:rsidP="00190E3E">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 xml:space="preserve">Биохимические показатели крови у больных ММ </w:t>
      </w:r>
    </w:p>
    <w:p w:rsidR="00190E3E" w:rsidRPr="00A11646" w:rsidRDefault="00190E3E" w:rsidP="00190E3E">
      <w:pPr>
        <w:spacing w:after="0" w:line="240" w:lineRule="auto"/>
        <w:jc w:val="center"/>
        <w:rPr>
          <w:rFonts w:ascii="Times New Roman" w:eastAsia="Times New Roman" w:hAnsi="Times New Roman"/>
          <w:b/>
          <w:sz w:val="28"/>
          <w:szCs w:val="28"/>
          <w:lang w:val="uz-Cyrl-UZ"/>
        </w:rPr>
      </w:pPr>
      <w:r w:rsidRPr="00A11646">
        <w:rPr>
          <w:rFonts w:ascii="Times New Roman" w:eastAsia="Times New Roman" w:hAnsi="Times New Roman"/>
          <w:b/>
          <w:sz w:val="28"/>
          <w:szCs w:val="28"/>
        </w:rPr>
        <w:t>после лечения (</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p>
    <w:p w:rsidR="00190E3E" w:rsidRPr="00A11646" w:rsidRDefault="00190E3E" w:rsidP="00190E3E">
      <w:pPr>
        <w:spacing w:after="0" w:line="240" w:lineRule="auto"/>
        <w:jc w:val="center"/>
        <w:rPr>
          <w:rFonts w:ascii="Times New Roman" w:eastAsia="Times New Roman" w:hAnsi="Times New Roman"/>
          <w:sz w:val="28"/>
          <w:szCs w:val="28"/>
        </w:rPr>
      </w:pPr>
    </w:p>
    <w:tbl>
      <w:tblPr>
        <w:tblW w:w="5000" w:type="pct"/>
        <w:tblLook w:val="04A0"/>
      </w:tblPr>
      <w:tblGrid>
        <w:gridCol w:w="1555"/>
        <w:gridCol w:w="1152"/>
        <w:gridCol w:w="1770"/>
        <w:gridCol w:w="1694"/>
        <w:gridCol w:w="1532"/>
        <w:gridCol w:w="1584"/>
      </w:tblGrid>
      <w:tr w:rsidR="00A11646" w:rsidRPr="00A11646" w:rsidTr="00A11646">
        <w:trPr>
          <w:trHeight w:val="397"/>
        </w:trPr>
        <w:tc>
          <w:tcPr>
            <w:tcW w:w="28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bookmarkStart w:id="169" w:name="_Hlk6340732"/>
            <w:r w:rsidRPr="00A11646">
              <w:rPr>
                <w:rFonts w:ascii="Times New Roman" w:eastAsia="Times New Roman" w:hAnsi="Times New Roman"/>
                <w:sz w:val="28"/>
                <w:szCs w:val="28"/>
                <w:lang w:val="uz-Cyrl-UZ"/>
              </w:rPr>
              <w:t>Иммунохимический вариант</w:t>
            </w:r>
            <w:r w:rsidRPr="00A11646">
              <w:rPr>
                <w:rFonts w:ascii="Times New Roman" w:eastAsia="Times New Roman" w:hAnsi="Times New Roman"/>
                <w:sz w:val="28"/>
                <w:szCs w:val="28"/>
              </w:rPr>
              <w:t>Ig</w:t>
            </w:r>
          </w:p>
        </w:tc>
        <w:tc>
          <w:tcPr>
            <w:tcW w:w="65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E3E" w:rsidRPr="00A11646" w:rsidRDefault="00190E3E" w:rsidP="00A11646">
            <w:pPr>
              <w:spacing w:after="0" w:line="240" w:lineRule="auto"/>
              <w:jc w:val="center"/>
              <w:rPr>
                <w:rFonts w:ascii="Times New Roman" w:eastAsia="Times New Roman" w:hAnsi="Times New Roman"/>
                <w:sz w:val="28"/>
                <w:szCs w:val="28"/>
                <w:lang w:val="uz-Cyrl-UZ"/>
              </w:rPr>
            </w:pPr>
          </w:p>
        </w:tc>
      </w:tr>
      <w:tr w:rsidR="00A11646" w:rsidRPr="00A11646" w:rsidTr="00A11646">
        <w:trPr>
          <w:trHeight w:val="397"/>
        </w:trPr>
        <w:tc>
          <w:tcPr>
            <w:tcW w:w="2830" w:type="dxa"/>
            <w:gridSpan w:val="2"/>
            <w:vMerge/>
            <w:tcBorders>
              <w:top w:val="single" w:sz="4" w:space="0" w:color="auto"/>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rPr>
                <w:rFonts w:ascii="Times New Roman" w:eastAsia="Times New Roman" w:hAnsi="Times New Roman"/>
                <w:sz w:val="28"/>
                <w:szCs w:val="28"/>
              </w:rPr>
            </w:pPr>
          </w:p>
        </w:tc>
        <w:tc>
          <w:tcPr>
            <w:tcW w:w="1580" w:type="dxa"/>
            <w:vMerge w:val="restart"/>
            <w:tcBorders>
              <w:top w:val="single" w:sz="4" w:space="0" w:color="auto"/>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Общий белок, г/л</w:t>
            </w:r>
          </w:p>
        </w:tc>
        <w:tc>
          <w:tcPr>
            <w:tcW w:w="4935" w:type="dxa"/>
            <w:gridSpan w:val="3"/>
            <w:tcBorders>
              <w:top w:val="single" w:sz="4" w:space="0" w:color="auto"/>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Белковые фракции</w:t>
            </w:r>
          </w:p>
        </w:tc>
      </w:tr>
      <w:tr w:rsidR="00A11646" w:rsidRPr="00A11646" w:rsidTr="00A11646">
        <w:trPr>
          <w:trHeight w:val="397"/>
        </w:trPr>
        <w:tc>
          <w:tcPr>
            <w:tcW w:w="2830" w:type="dxa"/>
            <w:gridSpan w:val="2"/>
            <w:vMerge/>
            <w:tcBorders>
              <w:top w:val="single" w:sz="4" w:space="0" w:color="auto"/>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rPr>
                <w:rFonts w:ascii="Times New Roman" w:eastAsia="Times New Roman" w:hAnsi="Times New Roman"/>
                <w:sz w:val="28"/>
                <w:szCs w:val="28"/>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rPr>
                <w:rFonts w:ascii="Times New Roman" w:eastAsia="Times New Roman" w:hAnsi="Times New Roman"/>
                <w:sz w:val="28"/>
                <w:szCs w:val="28"/>
              </w:rPr>
            </w:pPr>
          </w:p>
        </w:tc>
        <w:tc>
          <w:tcPr>
            <w:tcW w:w="1783"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Альбумин, %</w:t>
            </w:r>
          </w:p>
        </w:tc>
        <w:tc>
          <w:tcPr>
            <w:tcW w:w="153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62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β</w:t>
            </w:r>
          </w:p>
        </w:tc>
      </w:tr>
      <w:tr w:rsidR="00A11646" w:rsidRPr="00A11646" w:rsidTr="00A11646">
        <w:trPr>
          <w:trHeight w:val="397"/>
        </w:trPr>
        <w:tc>
          <w:tcPr>
            <w:tcW w:w="9345" w:type="dxa"/>
            <w:gridSpan w:val="6"/>
            <w:tcBorders>
              <w:top w:val="single" w:sz="4" w:space="0" w:color="auto"/>
              <w:left w:val="single" w:sz="4" w:space="0" w:color="auto"/>
              <w:bottom w:val="single" w:sz="4" w:space="0" w:color="auto"/>
              <w:right w:val="single" w:sz="4" w:space="0" w:color="auto"/>
            </w:tcBorders>
            <w:vAlign w:val="center"/>
          </w:tcPr>
          <w:p w:rsidR="00190E3E" w:rsidRPr="00A11646" w:rsidRDefault="00190E3E" w:rsidP="00A11646">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«А»</w:t>
            </w:r>
            <w:r w:rsidRPr="00A11646">
              <w:rPr>
                <w:rFonts w:ascii="Times New Roman" w:eastAsia="Times New Roman" w:hAnsi="Times New Roman"/>
                <w:sz w:val="28"/>
                <w:szCs w:val="28"/>
                <w:lang w:val="uz-Cyrl-UZ"/>
              </w:rPr>
              <w:t xml:space="preserve"> подгруппа</w:t>
            </w:r>
          </w:p>
        </w:tc>
      </w:tr>
      <w:tr w:rsidR="00A11646" w:rsidRPr="00A11646" w:rsidTr="00A11646">
        <w:trPr>
          <w:trHeight w:val="397"/>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G</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58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80,0±2,8</w:t>
            </w:r>
            <w:r w:rsidRPr="00A11646">
              <w:rPr>
                <w:rFonts w:ascii="Times New Roman" w:eastAsia="Times New Roman" w:hAnsi="Times New Roman"/>
                <w:sz w:val="28"/>
                <w:szCs w:val="28"/>
                <w:vertAlign w:val="superscript"/>
              </w:rPr>
              <w:t>***</w:t>
            </w:r>
          </w:p>
        </w:tc>
        <w:tc>
          <w:tcPr>
            <w:tcW w:w="1783"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49,3±1,0</w:t>
            </w:r>
            <w:r w:rsidRPr="00A11646">
              <w:rPr>
                <w:rFonts w:ascii="Times New Roman" w:eastAsia="Times New Roman" w:hAnsi="Times New Roman"/>
                <w:sz w:val="28"/>
                <w:szCs w:val="28"/>
                <w:vertAlign w:val="superscript"/>
              </w:rPr>
              <w:t>*</w:t>
            </w:r>
          </w:p>
        </w:tc>
        <w:tc>
          <w:tcPr>
            <w:tcW w:w="153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12,7±0,60</w:t>
            </w:r>
            <w:r w:rsidRPr="00A11646">
              <w:rPr>
                <w:rFonts w:ascii="Times New Roman" w:eastAsia="Times New Roman" w:hAnsi="Times New Roman"/>
                <w:sz w:val="28"/>
                <w:szCs w:val="28"/>
                <w:vertAlign w:val="superscript"/>
              </w:rPr>
              <w:t>**</w:t>
            </w:r>
          </w:p>
        </w:tc>
        <w:tc>
          <w:tcPr>
            <w:tcW w:w="162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8,1±0,41</w:t>
            </w:r>
            <w:r w:rsidRPr="00A11646">
              <w:rPr>
                <w:rFonts w:ascii="Times New Roman" w:eastAsia="Times New Roman" w:hAnsi="Times New Roman"/>
                <w:sz w:val="28"/>
                <w:szCs w:val="28"/>
                <w:vertAlign w:val="superscript"/>
              </w:rPr>
              <w:t>***</w:t>
            </w:r>
          </w:p>
        </w:tc>
      </w:tr>
      <w:tr w:rsidR="00A11646" w:rsidRPr="00A11646" w:rsidTr="00A11646">
        <w:trPr>
          <w:trHeight w:val="397"/>
        </w:trPr>
        <w:tc>
          <w:tcPr>
            <w:tcW w:w="1555" w:type="dxa"/>
            <w:vMerge/>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rPr>
                <w:rFonts w:ascii="Times New Roman" w:eastAsia="Times New Roman" w:hAnsi="Times New Roman"/>
                <w:sz w:val="28"/>
                <w:szCs w:val="28"/>
              </w:rPr>
            </w:pPr>
          </w:p>
        </w:tc>
        <w:tc>
          <w:tcPr>
            <w:tcW w:w="1275" w:type="dxa"/>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58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73,5±3,1</w:t>
            </w:r>
            <w:r w:rsidRPr="00A11646">
              <w:rPr>
                <w:rFonts w:ascii="Times New Roman" w:eastAsia="Times New Roman" w:hAnsi="Times New Roman"/>
                <w:sz w:val="28"/>
                <w:szCs w:val="28"/>
                <w:vertAlign w:val="superscript"/>
              </w:rPr>
              <w:t>***</w:t>
            </w:r>
          </w:p>
        </w:tc>
        <w:tc>
          <w:tcPr>
            <w:tcW w:w="1783"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47,6±1,9</w:t>
            </w:r>
            <w:r w:rsidRPr="00A11646">
              <w:rPr>
                <w:rFonts w:ascii="Times New Roman" w:eastAsia="Times New Roman" w:hAnsi="Times New Roman"/>
                <w:sz w:val="28"/>
                <w:szCs w:val="28"/>
                <w:vertAlign w:val="superscript"/>
              </w:rPr>
              <w:t>*</w:t>
            </w:r>
          </w:p>
        </w:tc>
        <w:tc>
          <w:tcPr>
            <w:tcW w:w="153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15,5±1,3</w:t>
            </w:r>
            <w:r w:rsidRPr="00A11646">
              <w:rPr>
                <w:rFonts w:ascii="Times New Roman" w:eastAsia="Times New Roman" w:hAnsi="Times New Roman"/>
                <w:sz w:val="28"/>
                <w:szCs w:val="28"/>
                <w:vertAlign w:val="superscript"/>
              </w:rPr>
              <w:t>**</w:t>
            </w:r>
          </w:p>
        </w:tc>
        <w:tc>
          <w:tcPr>
            <w:tcW w:w="162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8,4±0,54</w:t>
            </w:r>
            <w:r w:rsidRPr="00A11646">
              <w:rPr>
                <w:rFonts w:ascii="Times New Roman" w:eastAsia="Times New Roman" w:hAnsi="Times New Roman"/>
                <w:sz w:val="28"/>
                <w:szCs w:val="28"/>
                <w:vertAlign w:val="superscript"/>
              </w:rPr>
              <w:t>**</w:t>
            </w:r>
          </w:p>
        </w:tc>
      </w:tr>
      <w:tr w:rsidR="00A11646" w:rsidRPr="00A11646" w:rsidTr="00A11646">
        <w:trPr>
          <w:trHeight w:val="397"/>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B579A8"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58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85,6±7,8</w:t>
            </w:r>
            <w:r w:rsidRPr="00A11646">
              <w:rPr>
                <w:rFonts w:ascii="Times New Roman" w:eastAsia="Times New Roman" w:hAnsi="Times New Roman"/>
                <w:sz w:val="28"/>
                <w:szCs w:val="28"/>
                <w:vertAlign w:val="superscript"/>
              </w:rPr>
              <w:t>*</w:t>
            </w:r>
          </w:p>
        </w:tc>
        <w:tc>
          <w:tcPr>
            <w:tcW w:w="1783"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53,2±3,2</w:t>
            </w:r>
          </w:p>
        </w:tc>
        <w:tc>
          <w:tcPr>
            <w:tcW w:w="153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30,5±3,9</w:t>
            </w:r>
          </w:p>
        </w:tc>
        <w:tc>
          <w:tcPr>
            <w:tcW w:w="162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8,6±7,0</w:t>
            </w:r>
          </w:p>
        </w:tc>
      </w:tr>
      <w:tr w:rsidR="00A11646" w:rsidRPr="00A11646" w:rsidTr="00A11646">
        <w:trPr>
          <w:trHeight w:val="397"/>
        </w:trPr>
        <w:tc>
          <w:tcPr>
            <w:tcW w:w="1555" w:type="dxa"/>
            <w:vMerge/>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rPr>
                <w:rFonts w:ascii="Times New Roman" w:eastAsia="Times New Roman" w:hAnsi="Times New Roman"/>
                <w:sz w:val="28"/>
                <w:szCs w:val="28"/>
              </w:rPr>
            </w:pPr>
          </w:p>
        </w:tc>
        <w:tc>
          <w:tcPr>
            <w:tcW w:w="1275" w:type="dxa"/>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58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77,0±2,5</w:t>
            </w:r>
            <w:r w:rsidRPr="00A11646">
              <w:rPr>
                <w:rFonts w:ascii="Times New Roman" w:eastAsia="Times New Roman" w:hAnsi="Times New Roman"/>
                <w:sz w:val="28"/>
                <w:szCs w:val="28"/>
                <w:vertAlign w:val="superscript"/>
              </w:rPr>
              <w:t>*</w:t>
            </w:r>
          </w:p>
        </w:tc>
        <w:tc>
          <w:tcPr>
            <w:tcW w:w="1783"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56,6±2,6</w:t>
            </w:r>
          </w:p>
        </w:tc>
        <w:tc>
          <w:tcPr>
            <w:tcW w:w="153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25,1±3,0</w:t>
            </w:r>
          </w:p>
        </w:tc>
        <w:tc>
          <w:tcPr>
            <w:tcW w:w="162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12,4±2,2</w:t>
            </w:r>
          </w:p>
        </w:tc>
      </w:tr>
      <w:tr w:rsidR="00A11646" w:rsidRPr="00A11646" w:rsidTr="00A11646">
        <w:trPr>
          <w:trHeight w:val="397"/>
        </w:trPr>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79,1±3,3</w:t>
            </w:r>
          </w:p>
        </w:tc>
        <w:tc>
          <w:tcPr>
            <w:tcW w:w="1783"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55,8±1,8</w:t>
            </w:r>
          </w:p>
        </w:tc>
        <w:tc>
          <w:tcPr>
            <w:tcW w:w="1532"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25,2±2,3</w:t>
            </w:r>
            <w:r w:rsidRPr="00A11646">
              <w:rPr>
                <w:rFonts w:ascii="Times New Roman" w:eastAsia="Times New Roman" w:hAnsi="Times New Roman"/>
                <w:sz w:val="28"/>
                <w:szCs w:val="28"/>
                <w:vertAlign w:val="superscript"/>
              </w:rPr>
              <w:t>*</w:t>
            </w:r>
          </w:p>
        </w:tc>
        <w:tc>
          <w:tcPr>
            <w:tcW w:w="1620"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Times New Roman" w:hAnsi="Times New Roman"/>
                <w:sz w:val="28"/>
                <w:szCs w:val="28"/>
                <w:lang w:val="uz-Cyrl-UZ"/>
              </w:rPr>
            </w:pPr>
            <w:r w:rsidRPr="00A11646">
              <w:rPr>
                <w:rFonts w:ascii="Times New Roman" w:eastAsia="Times New Roman" w:hAnsi="Times New Roman"/>
                <w:sz w:val="28"/>
                <w:szCs w:val="28"/>
              </w:rPr>
              <w:t>1</w:t>
            </w:r>
            <w:r w:rsidRPr="00A11646">
              <w:rPr>
                <w:rFonts w:ascii="Times New Roman" w:eastAsia="Times New Roman" w:hAnsi="Times New Roman"/>
                <w:sz w:val="28"/>
                <w:szCs w:val="28"/>
                <w:lang w:val="uz-Cyrl-UZ"/>
              </w:rPr>
              <w:t>1,7</w:t>
            </w:r>
            <w:r w:rsidRPr="00A11646">
              <w:rPr>
                <w:rFonts w:ascii="Times New Roman" w:eastAsia="Times New Roman" w:hAnsi="Times New Roman"/>
                <w:sz w:val="28"/>
                <w:szCs w:val="28"/>
              </w:rPr>
              <w:t>±2</w:t>
            </w:r>
            <w:r w:rsidRPr="00A11646">
              <w:rPr>
                <w:rFonts w:ascii="Times New Roman" w:eastAsia="Times New Roman" w:hAnsi="Times New Roman"/>
                <w:sz w:val="28"/>
                <w:szCs w:val="28"/>
                <w:lang w:val="uz-Cyrl-UZ"/>
              </w:rPr>
              <w:t>1,9</w:t>
            </w:r>
            <w:r w:rsidRPr="00A11646">
              <w:rPr>
                <w:rFonts w:ascii="Times New Roman" w:eastAsia="Times New Roman" w:hAnsi="Times New Roman"/>
                <w:sz w:val="28"/>
                <w:szCs w:val="28"/>
                <w:vertAlign w:val="superscript"/>
              </w:rPr>
              <w:t>*</w:t>
            </w:r>
          </w:p>
        </w:tc>
      </w:tr>
      <w:tr w:rsidR="00A11646" w:rsidRPr="00A11646" w:rsidTr="00A11646">
        <w:trPr>
          <w:trHeight w:val="397"/>
        </w:trPr>
        <w:tc>
          <w:tcPr>
            <w:tcW w:w="93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«Б»</w:t>
            </w:r>
            <w:r w:rsidRPr="00A11646">
              <w:rPr>
                <w:rFonts w:ascii="Times New Roman" w:eastAsia="Times New Roman" w:hAnsi="Times New Roman"/>
                <w:sz w:val="28"/>
                <w:szCs w:val="28"/>
                <w:lang w:val="uz-Cyrl-UZ"/>
              </w:rPr>
              <w:t xml:space="preserve"> подгруппа</w:t>
            </w:r>
          </w:p>
        </w:tc>
      </w:tr>
      <w:bookmarkEnd w:id="169"/>
      <w:tr w:rsidR="00A11646" w:rsidRPr="00A11646" w:rsidTr="00A11646">
        <w:trPr>
          <w:trHeight w:val="397"/>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G</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58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78,2±2,5***</w:t>
            </w:r>
          </w:p>
        </w:tc>
        <w:tc>
          <w:tcPr>
            <w:tcW w:w="1783"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55,9±0,8*</w:t>
            </w:r>
          </w:p>
        </w:tc>
        <w:tc>
          <w:tcPr>
            <w:tcW w:w="1532"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17,2±1,6</w:t>
            </w:r>
          </w:p>
        </w:tc>
        <w:tc>
          <w:tcPr>
            <w:tcW w:w="162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6,9±0,2***</w:t>
            </w:r>
          </w:p>
        </w:tc>
      </w:tr>
      <w:tr w:rsidR="00A11646" w:rsidRPr="00A11646" w:rsidTr="00A11646">
        <w:trPr>
          <w:trHeight w:val="397"/>
        </w:trPr>
        <w:tc>
          <w:tcPr>
            <w:tcW w:w="1555" w:type="dxa"/>
            <w:vMerge/>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rPr>
                <w:rFonts w:ascii="Times New Roman" w:eastAsia="Times New Roman" w:hAnsi="Times New Roman"/>
                <w:sz w:val="28"/>
                <w:szCs w:val="28"/>
              </w:rPr>
            </w:pPr>
          </w:p>
        </w:tc>
        <w:tc>
          <w:tcPr>
            <w:tcW w:w="1275" w:type="dxa"/>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58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85,3±3,8**</w:t>
            </w:r>
          </w:p>
        </w:tc>
        <w:tc>
          <w:tcPr>
            <w:tcW w:w="1783"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53,5±1,2</w:t>
            </w:r>
          </w:p>
        </w:tc>
        <w:tc>
          <w:tcPr>
            <w:tcW w:w="1532"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18,2±1,3*</w:t>
            </w:r>
          </w:p>
        </w:tc>
        <w:tc>
          <w:tcPr>
            <w:tcW w:w="162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7,9±0,32**</w:t>
            </w:r>
          </w:p>
        </w:tc>
      </w:tr>
      <w:tr w:rsidR="00A11646" w:rsidRPr="00A11646" w:rsidTr="00A11646">
        <w:trPr>
          <w:trHeight w:val="397"/>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B579A8"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158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71,8±3,08***</w:t>
            </w:r>
          </w:p>
        </w:tc>
        <w:tc>
          <w:tcPr>
            <w:tcW w:w="1783"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54,0±0,7</w:t>
            </w:r>
          </w:p>
        </w:tc>
        <w:tc>
          <w:tcPr>
            <w:tcW w:w="1532"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16,5±0,47*</w:t>
            </w:r>
          </w:p>
        </w:tc>
        <w:tc>
          <w:tcPr>
            <w:tcW w:w="162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7,5±0,16</w:t>
            </w:r>
          </w:p>
        </w:tc>
      </w:tr>
      <w:tr w:rsidR="00A11646" w:rsidRPr="00A11646" w:rsidTr="00A11646">
        <w:trPr>
          <w:trHeight w:val="397"/>
        </w:trPr>
        <w:tc>
          <w:tcPr>
            <w:tcW w:w="1555" w:type="dxa"/>
            <w:vMerge/>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rPr>
                <w:rFonts w:ascii="Times New Roman" w:eastAsia="Times New Roman" w:hAnsi="Times New Roman"/>
                <w:sz w:val="28"/>
                <w:szCs w:val="28"/>
              </w:rPr>
            </w:pPr>
          </w:p>
        </w:tc>
        <w:tc>
          <w:tcPr>
            <w:tcW w:w="1275" w:type="dxa"/>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158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71,8±3,08*</w:t>
            </w:r>
          </w:p>
        </w:tc>
        <w:tc>
          <w:tcPr>
            <w:tcW w:w="1783"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54,0±0,6</w:t>
            </w:r>
          </w:p>
        </w:tc>
        <w:tc>
          <w:tcPr>
            <w:tcW w:w="1532"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16,5±0,47*</w:t>
            </w:r>
          </w:p>
        </w:tc>
        <w:tc>
          <w:tcPr>
            <w:tcW w:w="1620" w:type="dxa"/>
            <w:tcBorders>
              <w:top w:val="nil"/>
              <w:left w:val="nil"/>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7,5±0,16</w:t>
            </w:r>
          </w:p>
        </w:tc>
      </w:tr>
      <w:tr w:rsidR="00A11646" w:rsidRPr="00A11646" w:rsidTr="00A11646">
        <w:trPr>
          <w:trHeight w:val="397"/>
        </w:trPr>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lang w:val="uz-Cyrl-UZ"/>
              </w:rPr>
            </w:pPr>
            <w:r w:rsidRPr="00A11646">
              <w:rPr>
                <w:rFonts w:ascii="Times New Roman" w:hAnsi="Times New Roman"/>
                <w:sz w:val="28"/>
                <w:szCs w:val="28"/>
              </w:rPr>
              <w:t>66,5+0,5**</w:t>
            </w:r>
          </w:p>
        </w:tc>
        <w:tc>
          <w:tcPr>
            <w:tcW w:w="1783" w:type="dxa"/>
            <w:tcBorders>
              <w:top w:val="nil"/>
              <w:left w:val="nil"/>
              <w:bottom w:val="single" w:sz="4" w:space="0" w:color="auto"/>
              <w:right w:val="single" w:sz="4" w:space="0" w:color="auto"/>
            </w:tcBorders>
            <w:vAlign w:val="center"/>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51,5±1,1</w:t>
            </w:r>
          </w:p>
        </w:tc>
        <w:tc>
          <w:tcPr>
            <w:tcW w:w="1532" w:type="dxa"/>
            <w:tcBorders>
              <w:top w:val="nil"/>
              <w:left w:val="nil"/>
              <w:bottom w:val="single" w:sz="4" w:space="0" w:color="auto"/>
              <w:right w:val="single" w:sz="4" w:space="0" w:color="auto"/>
            </w:tcBorders>
            <w:vAlign w:val="center"/>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14,0±1,6</w:t>
            </w:r>
          </w:p>
        </w:tc>
        <w:tc>
          <w:tcPr>
            <w:tcW w:w="1620" w:type="dxa"/>
            <w:tcBorders>
              <w:top w:val="nil"/>
              <w:left w:val="nil"/>
              <w:bottom w:val="single" w:sz="4" w:space="0" w:color="auto"/>
              <w:right w:val="single" w:sz="4" w:space="0" w:color="auto"/>
            </w:tcBorders>
            <w:vAlign w:val="center"/>
          </w:tcPr>
          <w:p w:rsidR="00190E3E" w:rsidRPr="00A11646" w:rsidRDefault="00190E3E" w:rsidP="00A11646">
            <w:pPr>
              <w:spacing w:after="0" w:line="240" w:lineRule="auto"/>
              <w:jc w:val="center"/>
              <w:rPr>
                <w:rFonts w:ascii="Times New Roman" w:eastAsia="Times New Roman" w:hAnsi="Times New Roman"/>
                <w:sz w:val="28"/>
                <w:szCs w:val="28"/>
                <w:lang w:val="uz-Cyrl-UZ"/>
              </w:rPr>
            </w:pPr>
            <w:r w:rsidRPr="00A11646">
              <w:rPr>
                <w:rFonts w:ascii="Times New Roman" w:hAnsi="Times New Roman"/>
                <w:sz w:val="28"/>
                <w:szCs w:val="28"/>
              </w:rPr>
              <w:t>7,0±0,10**</w:t>
            </w:r>
          </w:p>
        </w:tc>
      </w:tr>
    </w:tbl>
    <w:p w:rsidR="00190E3E" w:rsidRPr="00A11646" w:rsidRDefault="00190E3E" w:rsidP="00190E3E">
      <w:pPr>
        <w:spacing w:after="0" w:line="240" w:lineRule="auto"/>
        <w:jc w:val="center"/>
        <w:rPr>
          <w:rFonts w:ascii="Times New Roman" w:eastAsia="Times New Roman" w:hAnsi="Times New Roman"/>
          <w:sz w:val="28"/>
          <w:szCs w:val="28"/>
        </w:rPr>
      </w:pPr>
    </w:p>
    <w:p w:rsidR="00190E3E" w:rsidRPr="00A11646" w:rsidRDefault="00190E3E" w:rsidP="00190E3E">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 достоверно по сравнению с показателями до лечении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bookmarkStart w:id="170" w:name="_Hlk7277697"/>
      <w:r w:rsidRPr="00A11646">
        <w:rPr>
          <w:rFonts w:ascii="Times New Roman" w:hAnsi="Times New Roman"/>
          <w:sz w:val="28"/>
          <w:szCs w:val="28"/>
        </w:rPr>
        <w:t xml:space="preserve">В «А» подгруппе больных уровень общего белка после лечения снизился до нормальных значений. Так,  </w:t>
      </w:r>
      <w:r w:rsidRPr="00A11646">
        <w:rPr>
          <w:rFonts w:ascii="Times New Roman" w:hAnsi="Times New Roman"/>
          <w:sz w:val="28"/>
          <w:szCs w:val="28"/>
          <w:lang w:val="uz-Cyrl-UZ"/>
        </w:rPr>
        <w:t xml:space="preserve">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 он снизился  в 1,3 (80,0</w:t>
      </w:r>
      <w:r w:rsidRPr="00A11646">
        <w:rPr>
          <w:rFonts w:ascii="Times New Roman" w:eastAsia="Times New Roman" w:hAnsi="Times New Roman"/>
          <w:sz w:val="28"/>
          <w:szCs w:val="28"/>
        </w:rPr>
        <w:t xml:space="preserve">±2,8 г/л против 104,4±4,1 г/л; р&lt;0,001),  при </w:t>
      </w:r>
      <w:r w:rsidRPr="00A11646">
        <w:rPr>
          <w:rFonts w:ascii="Times New Roman" w:hAnsi="Times New Roman"/>
          <w:sz w:val="28"/>
          <w:szCs w:val="28"/>
          <w:lang w:val="en-US"/>
        </w:rPr>
        <w:t>IgGλ</w:t>
      </w:r>
      <w:r w:rsidRPr="00A11646">
        <w:rPr>
          <w:rFonts w:ascii="Times New Roman" w:hAnsi="Times New Roman"/>
          <w:sz w:val="28"/>
          <w:szCs w:val="28"/>
        </w:rPr>
        <w:t xml:space="preserve"> – достоверно в 1,4 (73,5</w:t>
      </w:r>
      <w:r w:rsidRPr="00A11646">
        <w:rPr>
          <w:rFonts w:ascii="Times New Roman" w:eastAsia="Times New Roman" w:hAnsi="Times New Roman"/>
          <w:sz w:val="28"/>
          <w:szCs w:val="28"/>
        </w:rPr>
        <w:t xml:space="preserve">±3,1 г/л против 105,4±4,4 г/л; р&lt;0,001),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1,36 (85,6</w:t>
      </w:r>
      <w:r w:rsidRPr="00A11646">
        <w:rPr>
          <w:rFonts w:ascii="Times New Roman" w:eastAsia="Times New Roman" w:hAnsi="Times New Roman"/>
          <w:sz w:val="28"/>
          <w:szCs w:val="28"/>
        </w:rPr>
        <w:t>±7,8 г/л против 116,7±8,9 г/л; р&lt;0,05) и,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1,17 (77,0</w:t>
      </w:r>
      <w:r w:rsidRPr="00A11646">
        <w:rPr>
          <w:rFonts w:ascii="Times New Roman" w:eastAsia="Times New Roman" w:hAnsi="Times New Roman"/>
          <w:sz w:val="28"/>
          <w:szCs w:val="28"/>
        </w:rPr>
        <w:t>±2,5 г/л против 90,7±5,5 г/л; р&lt;0,05), при редких вариантах  в 1,09</w:t>
      </w:r>
      <w:r w:rsidRPr="00A11646">
        <w:rPr>
          <w:rFonts w:ascii="Times New Roman" w:hAnsi="Times New Roman"/>
          <w:sz w:val="28"/>
          <w:szCs w:val="28"/>
        </w:rPr>
        <w:t>(79,1</w:t>
      </w:r>
      <w:r w:rsidRPr="00A11646">
        <w:rPr>
          <w:rFonts w:ascii="Times New Roman" w:eastAsia="Times New Roman" w:hAnsi="Times New Roman"/>
          <w:sz w:val="28"/>
          <w:szCs w:val="28"/>
        </w:rPr>
        <w:t>±3,3 г/л против 86,5±5,8 г/л; р&lt;0,05) раза.</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t xml:space="preserve">В “Б” подгруппе этот показательпосле лечения составили следующие значения: при варианте </w:t>
      </w:r>
      <w:r w:rsidRPr="00A11646">
        <w:rPr>
          <w:rFonts w:ascii="Times New Roman" w:hAnsi="Times New Roman"/>
          <w:sz w:val="28"/>
          <w:szCs w:val="28"/>
          <w:lang w:val="en-US"/>
        </w:rPr>
        <w:t>IgGκ</w:t>
      </w:r>
      <w:r w:rsidRPr="00A11646">
        <w:rPr>
          <w:rFonts w:ascii="Times New Roman" w:hAnsi="Times New Roman"/>
          <w:sz w:val="28"/>
          <w:szCs w:val="28"/>
        </w:rPr>
        <w:t xml:space="preserve">  общий белок снизился  в 1,33 (78,2</w:t>
      </w:r>
      <w:r w:rsidRPr="00A11646">
        <w:rPr>
          <w:rFonts w:ascii="Times New Roman" w:eastAsia="Times New Roman" w:hAnsi="Times New Roman"/>
          <w:sz w:val="28"/>
          <w:szCs w:val="28"/>
        </w:rPr>
        <w:t xml:space="preserve">±2,5 г/л против 104,4±4,1 г/л; р&lt;0,001),  при </w:t>
      </w:r>
      <w:r w:rsidRPr="00A11646">
        <w:rPr>
          <w:rFonts w:ascii="Times New Roman" w:hAnsi="Times New Roman"/>
          <w:sz w:val="28"/>
          <w:szCs w:val="28"/>
          <w:lang w:val="en-US"/>
        </w:rPr>
        <w:t>IgGλ</w:t>
      </w:r>
      <w:r w:rsidRPr="00A11646">
        <w:rPr>
          <w:rFonts w:ascii="Times New Roman" w:hAnsi="Times New Roman"/>
          <w:sz w:val="28"/>
          <w:szCs w:val="28"/>
        </w:rPr>
        <w:t xml:space="preserve"> – достоверно в 1,4 (85,3</w:t>
      </w:r>
      <w:r w:rsidRPr="00A11646">
        <w:rPr>
          <w:rFonts w:ascii="Times New Roman" w:eastAsia="Times New Roman" w:hAnsi="Times New Roman"/>
          <w:sz w:val="28"/>
          <w:szCs w:val="28"/>
        </w:rPr>
        <w:t xml:space="preserve">±3,8 г/л </w:t>
      </w:r>
      <w:r w:rsidRPr="00A11646">
        <w:rPr>
          <w:rFonts w:ascii="Times New Roman" w:eastAsia="Times New Roman" w:hAnsi="Times New Roman"/>
          <w:sz w:val="28"/>
          <w:szCs w:val="28"/>
        </w:rPr>
        <w:lastRenderedPageBreak/>
        <w:t xml:space="preserve">против 105,4±4,4 г/л; р&lt;0,01),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1,6 (71,8</w:t>
      </w:r>
      <w:r w:rsidRPr="00A11646">
        <w:rPr>
          <w:rFonts w:ascii="Times New Roman" w:eastAsia="Times New Roman" w:hAnsi="Times New Roman"/>
          <w:sz w:val="28"/>
          <w:szCs w:val="28"/>
        </w:rPr>
        <w:t>±3,8 г/л против 116,7±8,9 г/л; р&lt;0,001) и,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в 1,22 (7</w:t>
      </w:r>
      <w:r w:rsidR="00B579A8">
        <w:rPr>
          <w:rFonts w:ascii="Times New Roman" w:hAnsi="Times New Roman"/>
          <w:sz w:val="28"/>
          <w:szCs w:val="28"/>
          <w:lang w:val="uz-Cyrl-UZ"/>
        </w:rPr>
        <w:t>1</w:t>
      </w:r>
      <w:r w:rsidRPr="00A11646">
        <w:rPr>
          <w:rFonts w:ascii="Times New Roman" w:hAnsi="Times New Roman"/>
          <w:sz w:val="28"/>
          <w:szCs w:val="28"/>
        </w:rPr>
        <w:t>,8</w:t>
      </w:r>
      <w:r w:rsidRPr="00A11646">
        <w:rPr>
          <w:rFonts w:ascii="Times New Roman" w:eastAsia="Times New Roman" w:hAnsi="Times New Roman"/>
          <w:sz w:val="28"/>
          <w:szCs w:val="28"/>
        </w:rPr>
        <w:t>±3,08 г/л против 90,7±5,5 г/л; р&lt;0,05), при редких вариантах  в 1,09</w:t>
      </w:r>
      <w:r w:rsidRPr="00A11646">
        <w:rPr>
          <w:rFonts w:ascii="Times New Roman" w:hAnsi="Times New Roman"/>
          <w:sz w:val="28"/>
          <w:szCs w:val="28"/>
        </w:rPr>
        <w:t>(66,5</w:t>
      </w:r>
      <w:r w:rsidRPr="00A11646">
        <w:rPr>
          <w:rFonts w:ascii="Times New Roman" w:eastAsia="Times New Roman" w:hAnsi="Times New Roman"/>
          <w:sz w:val="28"/>
          <w:szCs w:val="28"/>
        </w:rPr>
        <w:t>±0,5 г/л против 86,5±5,8 г/л; р&lt;0,01) раза.</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t xml:space="preserve">Сравнивая значения этого показателя после лечения  в обеих изученных подгруппах выявлено, что между уровнем общего белка в “А” и “Б” подгруппах имеются отличия.Так разница в его снижении в подгруппе “Б” по отношению к “А” подгруппе  при варианте </w:t>
      </w:r>
      <w:r w:rsidRPr="00A11646">
        <w:rPr>
          <w:rFonts w:ascii="Times New Roman" w:hAnsi="Times New Roman"/>
          <w:sz w:val="28"/>
          <w:szCs w:val="28"/>
          <w:lang w:val="en-US"/>
        </w:rPr>
        <w:t>IgGκ</w:t>
      </w:r>
      <w:r w:rsidR="00075BD4">
        <w:rPr>
          <w:rFonts w:ascii="Times New Roman" w:hAnsi="Times New Roman"/>
          <w:sz w:val="28"/>
          <w:szCs w:val="28"/>
          <w:lang w:val="uz-Cyrl-UZ"/>
        </w:rPr>
        <w:t xml:space="preserve"> </w:t>
      </w:r>
      <w:r w:rsidRPr="00A11646">
        <w:rPr>
          <w:rFonts w:ascii="Times New Roman" w:hAnsi="Times New Roman"/>
          <w:sz w:val="28"/>
          <w:szCs w:val="28"/>
        </w:rPr>
        <w:t>составила 1,02</w:t>
      </w:r>
      <w:r w:rsidRPr="00A11646">
        <w:rPr>
          <w:rFonts w:ascii="Times New Roman" w:eastAsia="Times New Roman" w:hAnsi="Times New Roman"/>
          <w:sz w:val="28"/>
          <w:szCs w:val="28"/>
        </w:rPr>
        <w:t xml:space="preserve">,  при </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κ</w:t>
      </w:r>
      <w:r w:rsidRPr="00A11646">
        <w:rPr>
          <w:rFonts w:ascii="Times New Roman" w:hAnsi="Times New Roman"/>
          <w:sz w:val="28"/>
          <w:szCs w:val="28"/>
        </w:rPr>
        <w:t xml:space="preserve"> –   в 1,2</w:t>
      </w:r>
      <w:r w:rsidRPr="00A11646">
        <w:rPr>
          <w:rFonts w:ascii="Times New Roman" w:eastAsia="Times New Roman" w:hAnsi="Times New Roman"/>
          <w:sz w:val="28"/>
          <w:szCs w:val="28"/>
        </w:rPr>
        <w:t>, при</w:t>
      </w:r>
      <w:r w:rsidRPr="00A11646">
        <w:rPr>
          <w:rFonts w:ascii="Times New Roman" w:hAnsi="Times New Roman"/>
          <w:sz w:val="28"/>
          <w:szCs w:val="28"/>
          <w:lang w:val="en-US"/>
        </w:rPr>
        <w:t>Ig</w:t>
      </w:r>
      <w:r w:rsidRPr="00A11646">
        <w:rPr>
          <w:rFonts w:ascii="Times New Roman" w:hAnsi="Times New Roman"/>
          <w:sz w:val="28"/>
          <w:szCs w:val="28"/>
        </w:rPr>
        <w:t>А</w:t>
      </w:r>
      <w:r w:rsidRPr="00A11646">
        <w:rPr>
          <w:rFonts w:ascii="Times New Roman" w:hAnsi="Times New Roman"/>
          <w:sz w:val="28"/>
          <w:szCs w:val="28"/>
          <w:lang w:val="en-US"/>
        </w:rPr>
        <w:t>λ</w:t>
      </w:r>
      <w:r w:rsidRPr="00A11646">
        <w:rPr>
          <w:rFonts w:ascii="Times New Roman" w:hAnsi="Times New Roman"/>
          <w:sz w:val="28"/>
          <w:szCs w:val="28"/>
        </w:rPr>
        <w:t xml:space="preserve"> -  1,03</w:t>
      </w:r>
      <w:r w:rsidRPr="00A11646">
        <w:rPr>
          <w:rFonts w:ascii="Times New Roman" w:eastAsia="Times New Roman" w:hAnsi="Times New Roman"/>
          <w:sz w:val="28"/>
          <w:szCs w:val="28"/>
        </w:rPr>
        <w:t>, при редких вариантах  - 1,0</w:t>
      </w:r>
      <w:r w:rsidR="00644EAF">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(рис.4.2.2.1.).</w:t>
      </w:r>
    </w:p>
    <w:bookmarkEnd w:id="170"/>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noProof/>
          <w:sz w:val="28"/>
          <w:szCs w:val="28"/>
        </w:rPr>
        <w:drawing>
          <wp:inline distT="0" distB="0" distL="0" distR="0">
            <wp:extent cx="5486400" cy="3505200"/>
            <wp:effectExtent l="19050" t="0" r="1905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lang w:val="uz-Cyrl-UZ"/>
        </w:rPr>
      </w:pPr>
      <w:r w:rsidRPr="00A11646">
        <w:rPr>
          <w:rFonts w:ascii="Times New Roman" w:hAnsi="Times New Roman"/>
          <w:b/>
          <w:sz w:val="28"/>
          <w:szCs w:val="28"/>
        </w:rPr>
        <w:t>Рис. 4.2.2.1. Сравнительная разница уровня общего белка в подгруппах «А» и «Б»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bookmarkStart w:id="171" w:name="_Hlk7277714"/>
      <w:r w:rsidRPr="00A11646">
        <w:rPr>
          <w:rFonts w:ascii="Times New Roman" w:hAnsi="Times New Roman"/>
          <w:sz w:val="28"/>
          <w:szCs w:val="28"/>
          <w:lang w:val="uz-Cyrl-UZ"/>
        </w:rPr>
        <w:t>Изучая количество белка после лечениянами выявлено, что его уровень различается</w:t>
      </w:r>
      <w:r w:rsidRPr="00A11646">
        <w:rPr>
          <w:rFonts w:ascii="Times New Roman" w:hAnsi="Times New Roman"/>
          <w:sz w:val="28"/>
          <w:szCs w:val="28"/>
        </w:rPr>
        <w:t xml:space="preserve">в зависимости от проведенного лечения. </w:t>
      </w:r>
      <w:r w:rsidRPr="00A11646">
        <w:rPr>
          <w:rFonts w:ascii="Times New Roman" w:hAnsi="Times New Roman"/>
          <w:sz w:val="28"/>
          <w:szCs w:val="28"/>
          <w:lang w:val="uz-Cyrl-UZ"/>
        </w:rPr>
        <w:t>Выявленные отличия являются докозательством большей эффективности лечения с проведением аутоТГСК в подгруппе “Б”.</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lang w:val="uz-Cyrl-UZ"/>
        </w:rPr>
        <w:t>Оценка результатов среднего количества альбумина показала, что при всех вариантах как до лечения, так и после лечения в обеих подгруппах находились в пределах нормы (табл. 4.2.2.1.).</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lang w:val="uz-Cyrl-UZ"/>
        </w:rPr>
        <w:lastRenderedPageBreak/>
        <w:t>Анализ результатов изучения у</w:t>
      </w:r>
      <w:r w:rsidRPr="00A11646">
        <w:rPr>
          <w:rFonts w:ascii="Times New Roman" w:hAnsi="Times New Roman"/>
          <w:sz w:val="28"/>
          <w:szCs w:val="28"/>
        </w:rPr>
        <w:t>ровней</w:t>
      </w:r>
      <w:bookmarkStart w:id="172" w:name="_Hlk6346358"/>
      <w:r w:rsidR="008676C8">
        <w:rPr>
          <w:rFonts w:ascii="Times New Roman" w:hAnsi="Times New Roman"/>
          <w:sz w:val="28"/>
          <w:szCs w:val="28"/>
          <w:lang w:val="uz-Cyrl-UZ"/>
        </w:rPr>
        <w:t xml:space="preserve"> </w:t>
      </w:r>
      <w:r w:rsidRPr="00A11646">
        <w:rPr>
          <w:rFonts w:ascii="Times New Roman" w:hAnsi="Times New Roman"/>
          <w:sz w:val="28"/>
          <w:szCs w:val="28"/>
        </w:rPr>
        <w:t>γ – и β</w:t>
      </w:r>
      <w:r w:rsidRPr="00A11646">
        <w:rPr>
          <w:rFonts w:ascii="Times New Roman" w:hAnsi="Times New Roman"/>
          <w:sz w:val="28"/>
          <w:szCs w:val="28"/>
          <w:vertAlign w:val="subscript"/>
        </w:rPr>
        <w:t>2</w:t>
      </w:r>
      <w:r w:rsidRPr="00A11646">
        <w:rPr>
          <w:rFonts w:ascii="Times New Roman" w:hAnsi="Times New Roman"/>
          <w:sz w:val="28"/>
          <w:szCs w:val="28"/>
        </w:rPr>
        <w:t xml:space="preserve">-микроглобулинов </w:t>
      </w:r>
      <w:bookmarkEnd w:id="172"/>
      <w:r w:rsidRPr="00A11646">
        <w:rPr>
          <w:rFonts w:ascii="Times New Roman" w:hAnsi="Times New Roman"/>
          <w:sz w:val="28"/>
          <w:szCs w:val="28"/>
        </w:rPr>
        <w:t xml:space="preserve">в сыворотке крови больных после леченияпоказал различия в обеих подгруппах. </w:t>
      </w:r>
      <w:bookmarkStart w:id="173" w:name="_Hlk6346762"/>
      <w:r w:rsidRPr="00A11646">
        <w:rPr>
          <w:rFonts w:ascii="Times New Roman" w:hAnsi="Times New Roman"/>
          <w:sz w:val="28"/>
          <w:szCs w:val="28"/>
        </w:rPr>
        <w:t xml:space="preserve">В подгруппе «А» после лечения </w:t>
      </w:r>
      <w:bookmarkStart w:id="174" w:name="_Hlk6345419"/>
      <w:r w:rsidRPr="00A11646">
        <w:rPr>
          <w:rFonts w:ascii="Times New Roman" w:hAnsi="Times New Roman"/>
          <w:sz w:val="28"/>
          <w:szCs w:val="28"/>
        </w:rPr>
        <w:t xml:space="preserve">количество </w:t>
      </w:r>
      <w:r w:rsidRPr="00A11646">
        <w:rPr>
          <w:rFonts w:ascii="Times New Roman" w:eastAsia="Times New Roman" w:hAnsi="Times New Roman"/>
          <w:sz w:val="28"/>
          <w:szCs w:val="28"/>
        </w:rPr>
        <w:t>γ- микроглобулина</w:t>
      </w:r>
      <w:bookmarkEnd w:id="174"/>
      <w:r w:rsidRPr="00A11646">
        <w:rPr>
          <w:rFonts w:ascii="Times New Roman" w:eastAsia="Times New Roman" w:hAnsi="Times New Roman"/>
          <w:sz w:val="28"/>
          <w:szCs w:val="28"/>
        </w:rPr>
        <w:t>и β</w:t>
      </w:r>
      <w:r w:rsidRPr="00A11646">
        <w:rPr>
          <w:rFonts w:ascii="Times New Roman" w:eastAsia="Times New Roman" w:hAnsi="Times New Roman"/>
          <w:sz w:val="28"/>
          <w:szCs w:val="28"/>
          <w:vertAlign w:val="subscript"/>
          <w:lang w:val="uz-Cyrl-UZ"/>
        </w:rPr>
        <w:t>2</w:t>
      </w:r>
      <w:r w:rsidRPr="00A11646">
        <w:rPr>
          <w:rFonts w:ascii="Times New Roman" w:eastAsia="Times New Roman" w:hAnsi="Times New Roman"/>
          <w:sz w:val="28"/>
          <w:szCs w:val="28"/>
        </w:rPr>
        <w:t>- микроглобулина при варианте</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κ достоверно снижались до </w:t>
      </w:r>
      <w:r w:rsidRPr="00A11646">
        <w:rPr>
          <w:rFonts w:ascii="Times New Roman" w:eastAsia="Times New Roman" w:hAnsi="Times New Roman"/>
          <w:sz w:val="28"/>
          <w:szCs w:val="28"/>
          <w:lang w:val="uz-Cyrl-UZ"/>
        </w:rPr>
        <w:t>12,7</w:t>
      </w:r>
      <w:r w:rsidRPr="00A11646">
        <w:rPr>
          <w:rFonts w:ascii="Times New Roman" w:eastAsia="Times New Roman" w:hAnsi="Times New Roman"/>
          <w:sz w:val="28"/>
          <w:szCs w:val="28"/>
        </w:rPr>
        <w:t>±0,60%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0,01) и 8,1</w:t>
      </w:r>
      <w:r w:rsidRPr="00A11646">
        <w:rPr>
          <w:rFonts w:ascii="Times New Roman" w:eastAsia="Times New Roman" w:hAnsi="Times New Roman"/>
          <w:sz w:val="28"/>
          <w:szCs w:val="28"/>
        </w:rPr>
        <w:t>±0,41%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 xml:space="preserve">0,001),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 до</w:t>
      </w:r>
      <w:r w:rsidRPr="00A11646">
        <w:rPr>
          <w:rFonts w:ascii="Times New Roman" w:eastAsia="Times New Roman" w:hAnsi="Times New Roman"/>
          <w:sz w:val="28"/>
          <w:szCs w:val="28"/>
          <w:lang w:val="uz-Cyrl-UZ"/>
        </w:rPr>
        <w:t>15,5</w:t>
      </w:r>
      <w:r w:rsidRPr="00A11646">
        <w:rPr>
          <w:rFonts w:ascii="Times New Roman" w:eastAsia="Times New Roman" w:hAnsi="Times New Roman"/>
          <w:sz w:val="28"/>
          <w:szCs w:val="28"/>
        </w:rPr>
        <w:t>±1,3%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 и 8,4</w:t>
      </w:r>
      <w:r w:rsidRPr="00A11646">
        <w:rPr>
          <w:rFonts w:ascii="Times New Roman" w:eastAsia="Times New Roman" w:hAnsi="Times New Roman"/>
          <w:sz w:val="28"/>
          <w:szCs w:val="28"/>
        </w:rPr>
        <w:t>±0,54%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0,01). Однако  при</w:t>
      </w:r>
      <w:r w:rsidR="00644EAF">
        <w:rPr>
          <w:rFonts w:ascii="Times New Roman" w:eastAsia="Times New Roman" w:hAnsi="Times New Roman"/>
          <w:sz w:val="28"/>
          <w:szCs w:val="28"/>
          <w:lang w:val="uz-Cyrl-UZ"/>
        </w:rPr>
        <w:t xml:space="preserve">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w:t>
      </w:r>
      <w:r w:rsidR="00644EAF">
        <w:rPr>
          <w:rFonts w:ascii="Times New Roman" w:eastAsia="Times New Roman" w:hAnsi="Times New Roman"/>
          <w:sz w:val="28"/>
          <w:szCs w:val="28"/>
          <w:lang w:val="uz-Cyrl-UZ"/>
        </w:rPr>
        <w:t xml:space="preserve"> </w:t>
      </w:r>
      <w:r w:rsidRPr="00A11646">
        <w:rPr>
          <w:rFonts w:ascii="Times New Roman" w:hAnsi="Times New Roman"/>
          <w:sz w:val="28"/>
          <w:szCs w:val="28"/>
        </w:rPr>
        <w:t>количество</w:t>
      </w:r>
      <w:r w:rsidR="00644EAF">
        <w:rPr>
          <w:rFonts w:ascii="Times New Roman" w:hAnsi="Times New Roman"/>
          <w:sz w:val="28"/>
          <w:szCs w:val="28"/>
          <w:lang w:val="uz-Cyrl-UZ"/>
        </w:rPr>
        <w:t xml:space="preserve"> </w:t>
      </w:r>
      <w:r w:rsidRPr="00A11646">
        <w:rPr>
          <w:rFonts w:ascii="Times New Roman" w:eastAsia="Times New Roman" w:hAnsi="Times New Roman"/>
          <w:sz w:val="28"/>
          <w:szCs w:val="28"/>
        </w:rPr>
        <w:t>γ- микроглобулина не достигало нормальных значений и составило 30,5±6,2% (</w:t>
      </w:r>
      <w:r w:rsidRPr="00A11646">
        <w:rPr>
          <w:rFonts w:ascii="Times New Roman" w:eastAsia="Times New Roman" w:hAnsi="Times New Roman"/>
          <w:sz w:val="28"/>
          <w:szCs w:val="28"/>
          <w:lang w:val="uz-Cyrl-UZ"/>
        </w:rPr>
        <w:t>р</w:t>
      </w:r>
      <w:bookmarkStart w:id="175" w:name="_Hlk6345672"/>
      <w:r w:rsidRPr="00A11646">
        <w:rPr>
          <w:rFonts w:ascii="Times New Roman" w:eastAsia="Times New Roman" w:hAnsi="Times New Roman"/>
          <w:sz w:val="28"/>
          <w:szCs w:val="28"/>
          <w:lang w:val="uz-Cyrl-UZ"/>
        </w:rPr>
        <w:t>&gt;</w:t>
      </w:r>
      <w:bookmarkEnd w:id="175"/>
      <w:r w:rsidRPr="00A11646">
        <w:rPr>
          <w:rFonts w:ascii="Times New Roman" w:eastAsia="Times New Roman" w:hAnsi="Times New Roman"/>
          <w:sz w:val="28"/>
          <w:szCs w:val="28"/>
          <w:lang w:val="uz-Cyrl-UZ"/>
        </w:rPr>
        <w:t>0,05), тогда как уровень</w:t>
      </w:r>
      <w:r w:rsidRPr="00A11646">
        <w:rPr>
          <w:rFonts w:ascii="Times New Roman" w:hAnsi="Times New Roman"/>
          <w:sz w:val="28"/>
          <w:szCs w:val="28"/>
        </w:rPr>
        <w:t>β</w:t>
      </w:r>
      <w:r w:rsidRPr="00A11646">
        <w:rPr>
          <w:rFonts w:ascii="Times New Roman" w:hAnsi="Times New Roman"/>
          <w:sz w:val="28"/>
          <w:szCs w:val="28"/>
          <w:vertAlign w:val="subscript"/>
        </w:rPr>
        <w:t>2</w:t>
      </w:r>
      <w:r w:rsidRPr="00A11646">
        <w:rPr>
          <w:rFonts w:ascii="Times New Roman" w:hAnsi="Times New Roman"/>
          <w:sz w:val="28"/>
          <w:szCs w:val="28"/>
        </w:rPr>
        <w:t>-микроглобулина снижалось до нормы (8,6</w:t>
      </w:r>
      <w:r w:rsidRPr="00A11646">
        <w:rPr>
          <w:rFonts w:ascii="Times New Roman" w:eastAsia="Times New Roman" w:hAnsi="Times New Roman"/>
          <w:sz w:val="28"/>
          <w:szCs w:val="28"/>
        </w:rPr>
        <w:t xml:space="preserve">±7,0%; </w:t>
      </w:r>
      <w:r w:rsidRPr="00A11646">
        <w:rPr>
          <w:rFonts w:ascii="Times New Roman" w:eastAsia="Times New Roman" w:hAnsi="Times New Roman"/>
          <w:sz w:val="28"/>
          <w:szCs w:val="28"/>
          <w:lang w:val="uz-Cyrl-UZ"/>
        </w:rPr>
        <w:t>р</w:t>
      </w:r>
      <w:bookmarkStart w:id="176" w:name="_Hlk6345903"/>
      <w:r w:rsidRPr="00A11646">
        <w:rPr>
          <w:rFonts w:ascii="Times New Roman" w:eastAsia="Times New Roman" w:hAnsi="Times New Roman"/>
          <w:sz w:val="28"/>
          <w:szCs w:val="28"/>
          <w:lang w:val="uz-Cyrl-UZ"/>
        </w:rPr>
        <w:t>&gt;</w:t>
      </w:r>
      <w:bookmarkEnd w:id="176"/>
      <w:r w:rsidRPr="00A11646">
        <w:rPr>
          <w:rFonts w:ascii="Times New Roman" w:eastAsia="Times New Roman" w:hAnsi="Times New Roman"/>
          <w:sz w:val="28"/>
          <w:szCs w:val="28"/>
          <w:lang w:val="uz-Cyrl-UZ"/>
        </w:rPr>
        <w:t>0,05). При вариантах</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λ и редких формах количество γ- микроглобулина в сравнении с таковым до лечения наоборот повышался в 1,1 </w:t>
      </w:r>
      <w:bookmarkStart w:id="177" w:name="_Hlk6346043"/>
      <w:r w:rsidRPr="00A11646">
        <w:rPr>
          <w:rFonts w:ascii="Times New Roman" w:eastAsia="Times New Roman" w:hAnsi="Times New Roman"/>
          <w:sz w:val="28"/>
          <w:szCs w:val="28"/>
        </w:rPr>
        <w:t xml:space="preserve">(25,1±3,0%; </w:t>
      </w:r>
      <w:r w:rsidRPr="00A11646">
        <w:rPr>
          <w:rFonts w:ascii="Times New Roman" w:eastAsia="Times New Roman" w:hAnsi="Times New Roman"/>
          <w:sz w:val="28"/>
          <w:szCs w:val="28"/>
          <w:lang w:val="uz-Cyrl-UZ"/>
        </w:rPr>
        <w:t>р&gt;</w:t>
      </w:r>
      <w:r w:rsidRPr="00A11646">
        <w:rPr>
          <w:rFonts w:ascii="Times New Roman" w:eastAsia="Times New Roman" w:hAnsi="Times New Roman"/>
          <w:sz w:val="28"/>
          <w:szCs w:val="28"/>
        </w:rPr>
        <w:t xml:space="preserve">0,05) и 1,4 (25,2±2,3%;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w:t>
      </w:r>
      <w:bookmarkEnd w:id="177"/>
      <w:r w:rsidRPr="00A11646">
        <w:rPr>
          <w:rFonts w:ascii="Times New Roman" w:eastAsia="Times New Roman" w:hAnsi="Times New Roman"/>
          <w:sz w:val="28"/>
          <w:szCs w:val="28"/>
        </w:rPr>
        <w:t xml:space="preserve"> раза соответственно. В отношении количества </w:t>
      </w:r>
      <w:r w:rsidRPr="00A11646">
        <w:rPr>
          <w:rFonts w:ascii="Times New Roman" w:hAnsi="Times New Roman"/>
          <w:sz w:val="28"/>
          <w:szCs w:val="28"/>
        </w:rPr>
        <w:t>β</w:t>
      </w:r>
      <w:r w:rsidRPr="00A11646">
        <w:rPr>
          <w:rFonts w:ascii="Times New Roman" w:hAnsi="Times New Roman"/>
          <w:sz w:val="28"/>
          <w:szCs w:val="28"/>
          <w:vertAlign w:val="subscript"/>
        </w:rPr>
        <w:t>2</w:t>
      </w:r>
      <w:r w:rsidRPr="00A11646">
        <w:rPr>
          <w:rFonts w:ascii="Times New Roman" w:hAnsi="Times New Roman"/>
          <w:sz w:val="28"/>
          <w:szCs w:val="28"/>
        </w:rPr>
        <w:t xml:space="preserve">-микроглобулина отмечено его повышение при </w:t>
      </w:r>
      <w:r w:rsidRPr="00A11646">
        <w:rPr>
          <w:rFonts w:ascii="Times New Roman" w:eastAsia="Times New Roman" w:hAnsi="Times New Roman"/>
          <w:sz w:val="28"/>
          <w:szCs w:val="28"/>
          <w:lang w:val="uz-Cyrl-UZ"/>
        </w:rPr>
        <w:t>варианте</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λ  в 1,2 раза (12,4±2,2%; </w:t>
      </w:r>
      <w:r w:rsidRPr="00A11646">
        <w:rPr>
          <w:rFonts w:ascii="Times New Roman" w:eastAsia="Times New Roman" w:hAnsi="Times New Roman"/>
          <w:sz w:val="28"/>
          <w:szCs w:val="28"/>
          <w:lang w:val="uz-Cyrl-UZ"/>
        </w:rPr>
        <w:t>р&gt;</w:t>
      </w:r>
      <w:r w:rsidRPr="00A11646">
        <w:rPr>
          <w:rFonts w:ascii="Times New Roman" w:eastAsia="Times New Roman" w:hAnsi="Times New Roman"/>
          <w:sz w:val="28"/>
          <w:szCs w:val="28"/>
        </w:rPr>
        <w:t xml:space="preserve">0,05), хотя при редких вариантах его количество и снижалось, однако оно все же было выше нормальных значений (11,7±11,7%;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w:t>
      </w:r>
    </w:p>
    <w:bookmarkEnd w:id="173"/>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hAnsi="Times New Roman"/>
          <w:sz w:val="28"/>
          <w:szCs w:val="28"/>
        </w:rPr>
        <w:t xml:space="preserve">В подгруппе «Б» после лечения количество </w:t>
      </w:r>
      <w:r w:rsidRPr="00A11646">
        <w:rPr>
          <w:rFonts w:ascii="Times New Roman" w:eastAsia="Times New Roman" w:hAnsi="Times New Roman"/>
          <w:sz w:val="28"/>
          <w:szCs w:val="28"/>
        </w:rPr>
        <w:t>γ- микроглобулина и β</w:t>
      </w:r>
      <w:r w:rsidRPr="00A11646">
        <w:rPr>
          <w:rFonts w:ascii="Times New Roman" w:eastAsia="Times New Roman" w:hAnsi="Times New Roman"/>
          <w:sz w:val="28"/>
          <w:szCs w:val="28"/>
          <w:vertAlign w:val="subscript"/>
          <w:lang w:val="uz-Cyrl-UZ"/>
        </w:rPr>
        <w:t>2</w:t>
      </w:r>
      <w:r w:rsidRPr="00A11646">
        <w:rPr>
          <w:rFonts w:ascii="Times New Roman" w:eastAsia="Times New Roman" w:hAnsi="Times New Roman"/>
          <w:sz w:val="28"/>
          <w:szCs w:val="28"/>
        </w:rPr>
        <w:t xml:space="preserve">- микроглобулина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κ снижались до </w:t>
      </w:r>
      <w:r w:rsidRPr="00A11646">
        <w:rPr>
          <w:rFonts w:ascii="Times New Roman" w:eastAsia="Times New Roman" w:hAnsi="Times New Roman"/>
          <w:sz w:val="28"/>
          <w:szCs w:val="28"/>
          <w:lang w:val="uz-Cyrl-UZ"/>
        </w:rPr>
        <w:t>17,2</w:t>
      </w:r>
      <w:r w:rsidRPr="00A11646">
        <w:rPr>
          <w:rFonts w:ascii="Times New Roman" w:eastAsia="Times New Roman" w:hAnsi="Times New Roman"/>
          <w:sz w:val="28"/>
          <w:szCs w:val="28"/>
        </w:rPr>
        <w:t>±1,6% (</w:t>
      </w:r>
      <w:r w:rsidRPr="00A11646">
        <w:rPr>
          <w:rFonts w:ascii="Times New Roman" w:eastAsia="Times New Roman" w:hAnsi="Times New Roman"/>
          <w:sz w:val="28"/>
          <w:szCs w:val="28"/>
          <w:lang w:val="uz-Cyrl-UZ"/>
        </w:rPr>
        <w:t>р&gt;0,05) и 6,9</w:t>
      </w:r>
      <w:r w:rsidRPr="00A11646">
        <w:rPr>
          <w:rFonts w:ascii="Times New Roman" w:eastAsia="Times New Roman" w:hAnsi="Times New Roman"/>
          <w:sz w:val="28"/>
          <w:szCs w:val="28"/>
        </w:rPr>
        <w:t>±1,6% (</w:t>
      </w:r>
      <w:r w:rsidRPr="00A11646">
        <w:rPr>
          <w:rFonts w:ascii="Times New Roman" w:eastAsia="Times New Roman" w:hAnsi="Times New Roman"/>
          <w:sz w:val="28"/>
          <w:szCs w:val="28"/>
          <w:lang w:val="uz-Cyrl-UZ"/>
        </w:rPr>
        <w:t xml:space="preserve">р&gt;0,05),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 до</w:t>
      </w:r>
      <w:r w:rsidRPr="00A11646">
        <w:rPr>
          <w:rFonts w:ascii="Times New Roman" w:eastAsia="Times New Roman" w:hAnsi="Times New Roman"/>
          <w:sz w:val="28"/>
          <w:szCs w:val="28"/>
          <w:lang w:val="uz-Cyrl-UZ"/>
        </w:rPr>
        <w:t xml:space="preserve"> 18,2</w:t>
      </w:r>
      <w:r w:rsidRPr="00A11646">
        <w:rPr>
          <w:rFonts w:ascii="Times New Roman" w:eastAsia="Times New Roman" w:hAnsi="Times New Roman"/>
          <w:sz w:val="28"/>
          <w:szCs w:val="28"/>
        </w:rPr>
        <w:t>±1,3%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 и 7,9</w:t>
      </w:r>
      <w:r w:rsidRPr="00A11646">
        <w:rPr>
          <w:rFonts w:ascii="Times New Roman" w:eastAsia="Times New Roman" w:hAnsi="Times New Roman"/>
          <w:sz w:val="28"/>
          <w:szCs w:val="28"/>
        </w:rPr>
        <w:t>±0,32%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0,01), при</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w:t>
      </w:r>
      <w:r w:rsidRPr="00A11646">
        <w:rPr>
          <w:rFonts w:ascii="Times New Roman" w:hAnsi="Times New Roman"/>
          <w:sz w:val="28"/>
          <w:szCs w:val="28"/>
        </w:rPr>
        <w:t>до</w:t>
      </w:r>
      <w:r w:rsidRPr="00A11646">
        <w:rPr>
          <w:rFonts w:ascii="Times New Roman" w:eastAsia="Times New Roman" w:hAnsi="Times New Roman"/>
          <w:sz w:val="28"/>
          <w:szCs w:val="28"/>
        </w:rPr>
        <w:t>16,5±20,47% (</w:t>
      </w:r>
      <w:r w:rsidRPr="00A11646">
        <w:rPr>
          <w:rFonts w:ascii="Times New Roman" w:eastAsia="Times New Roman" w:hAnsi="Times New Roman"/>
          <w:sz w:val="28"/>
          <w:szCs w:val="28"/>
          <w:lang w:val="uz-Cyrl-UZ"/>
        </w:rPr>
        <w:t>р&lt;0,05) и 7,5</w:t>
      </w:r>
      <w:r w:rsidRPr="00A11646">
        <w:rPr>
          <w:rFonts w:ascii="Times New Roman" w:eastAsia="Times New Roman" w:hAnsi="Times New Roman"/>
          <w:sz w:val="28"/>
          <w:szCs w:val="28"/>
        </w:rPr>
        <w:t>±0,16% (</w:t>
      </w:r>
      <w:r w:rsidRPr="00A11646">
        <w:rPr>
          <w:rFonts w:ascii="Times New Roman" w:eastAsia="Times New Roman" w:hAnsi="Times New Roman"/>
          <w:sz w:val="28"/>
          <w:szCs w:val="28"/>
          <w:lang w:val="uz-Cyrl-UZ"/>
        </w:rPr>
        <w:t>р&gt;0,05), при варианте</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 до 16,4±0,47% (</w:t>
      </w:r>
      <w:r w:rsidRPr="00A11646">
        <w:rPr>
          <w:rFonts w:ascii="Times New Roman" w:eastAsia="Times New Roman" w:hAnsi="Times New Roman"/>
          <w:sz w:val="28"/>
          <w:szCs w:val="28"/>
          <w:lang w:val="uz-Cyrl-UZ"/>
        </w:rPr>
        <w:t>р&lt;</w:t>
      </w:r>
      <w:r w:rsidRPr="00A11646">
        <w:rPr>
          <w:rFonts w:ascii="Times New Roman" w:eastAsia="Times New Roman" w:hAnsi="Times New Roman"/>
          <w:sz w:val="28"/>
          <w:szCs w:val="28"/>
        </w:rPr>
        <w:t>0,05) и 7,5±0,16% (</w:t>
      </w:r>
      <w:r w:rsidRPr="00A11646">
        <w:rPr>
          <w:rFonts w:ascii="Times New Roman" w:eastAsia="Times New Roman" w:hAnsi="Times New Roman"/>
          <w:sz w:val="28"/>
          <w:szCs w:val="28"/>
          <w:lang w:val="uz-Cyrl-UZ"/>
        </w:rPr>
        <w:t>р&gt;0,05</w:t>
      </w:r>
      <w:r w:rsidRPr="00A11646">
        <w:rPr>
          <w:rFonts w:ascii="Times New Roman" w:eastAsia="Times New Roman" w:hAnsi="Times New Roman"/>
          <w:sz w:val="28"/>
          <w:szCs w:val="28"/>
        </w:rPr>
        <w:t>), при редких вариантах до  14,0±1,6% (</w:t>
      </w:r>
      <w:r w:rsidRPr="00A11646">
        <w:rPr>
          <w:rFonts w:ascii="Times New Roman" w:eastAsia="Times New Roman" w:hAnsi="Times New Roman"/>
          <w:sz w:val="28"/>
          <w:szCs w:val="28"/>
          <w:lang w:val="uz-Cyrl-UZ"/>
        </w:rPr>
        <w:t>р&gt;</w:t>
      </w:r>
      <w:r w:rsidRPr="00A11646">
        <w:rPr>
          <w:rFonts w:ascii="Times New Roman" w:eastAsia="Times New Roman" w:hAnsi="Times New Roman"/>
          <w:sz w:val="28"/>
          <w:szCs w:val="28"/>
        </w:rPr>
        <w:t>0,05) и 7,0±0,1%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0,01</w:t>
      </w:r>
      <w:r w:rsidRPr="00A11646">
        <w:rPr>
          <w:rFonts w:ascii="Times New Roman" w:eastAsia="Times New Roman" w:hAnsi="Times New Roman"/>
          <w:sz w:val="28"/>
          <w:szCs w:val="28"/>
        </w:rPr>
        <w:t>) соответственно.</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bookmarkStart w:id="178" w:name="_Hlk7277729"/>
      <w:bookmarkEnd w:id="171"/>
      <w:r w:rsidRPr="00A11646">
        <w:rPr>
          <w:rFonts w:ascii="Times New Roman" w:eastAsia="Times New Roman" w:hAnsi="Times New Roman"/>
          <w:sz w:val="28"/>
          <w:szCs w:val="28"/>
        </w:rPr>
        <w:t xml:space="preserve">Далее приводятся данные результатов изучения </w:t>
      </w:r>
      <w:r w:rsidRPr="00A11646">
        <w:rPr>
          <w:rFonts w:ascii="Times New Roman" w:eastAsia="Times New Roman" w:hAnsi="Times New Roman"/>
          <w:sz w:val="28"/>
          <w:szCs w:val="28"/>
          <w:lang w:val="uz-Cyrl-UZ"/>
        </w:rPr>
        <w:t>уровня креатинина, остаточного азота и мочевины в крови у больных после лечения в “А” и “Б” подгруппах (табл.4.2.2.2.).</w:t>
      </w:r>
    </w:p>
    <w:bookmarkEnd w:id="178"/>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b/>
          <w:sz w:val="28"/>
          <w:szCs w:val="28"/>
          <w:lang w:val="uz-Cyrl-UZ"/>
        </w:rPr>
      </w:pPr>
    </w:p>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b/>
          <w:sz w:val="28"/>
          <w:szCs w:val="28"/>
          <w:lang w:val="uz-Cyrl-UZ"/>
        </w:rPr>
      </w:pPr>
    </w:p>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b/>
          <w:sz w:val="28"/>
          <w:szCs w:val="28"/>
          <w:lang w:val="uz-Cyrl-UZ"/>
        </w:rPr>
      </w:pPr>
    </w:p>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b/>
          <w:sz w:val="28"/>
          <w:szCs w:val="28"/>
          <w:lang w:val="uz-Cyrl-UZ"/>
        </w:rPr>
      </w:pPr>
    </w:p>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b/>
          <w:sz w:val="28"/>
          <w:szCs w:val="28"/>
          <w:lang w:val="uz-Cyrl-UZ"/>
        </w:rPr>
      </w:pPr>
    </w:p>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b/>
          <w:sz w:val="28"/>
          <w:szCs w:val="28"/>
          <w:lang w:val="uz-Cyrl-UZ"/>
        </w:rPr>
      </w:pPr>
    </w:p>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b/>
          <w:sz w:val="28"/>
          <w:szCs w:val="28"/>
          <w:lang w:val="uz-Cyrl-UZ"/>
        </w:rPr>
      </w:pPr>
      <w:r w:rsidRPr="00A11646">
        <w:rPr>
          <w:rFonts w:ascii="Times New Roman" w:eastAsia="Times New Roman" w:hAnsi="Times New Roman"/>
          <w:b/>
          <w:sz w:val="28"/>
          <w:szCs w:val="28"/>
          <w:lang w:val="uz-Cyrl-UZ"/>
        </w:rPr>
        <w:lastRenderedPageBreak/>
        <w:t>Таблица 4.2.2.2.</w:t>
      </w:r>
    </w:p>
    <w:p w:rsidR="00190E3E" w:rsidRPr="00A11646" w:rsidRDefault="00190E3E" w:rsidP="00190E3E">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 xml:space="preserve">Показатели биохимического анализа крови у больных ММ </w:t>
      </w:r>
    </w:p>
    <w:p w:rsidR="00190E3E" w:rsidRPr="00A11646" w:rsidRDefault="00190E3E" w:rsidP="00190E3E">
      <w:pPr>
        <w:spacing w:after="0" w:line="240" w:lineRule="auto"/>
        <w:jc w:val="center"/>
        <w:rPr>
          <w:rFonts w:ascii="Times New Roman" w:eastAsia="Times New Roman" w:hAnsi="Times New Roman"/>
          <w:b/>
          <w:sz w:val="28"/>
          <w:szCs w:val="28"/>
        </w:rPr>
      </w:pPr>
      <w:r w:rsidRPr="00A11646">
        <w:rPr>
          <w:rFonts w:ascii="Times New Roman" w:eastAsia="Times New Roman" w:hAnsi="Times New Roman"/>
          <w:b/>
          <w:sz w:val="28"/>
          <w:szCs w:val="28"/>
        </w:rPr>
        <w:t>в зависимости от иммунохимического варианта после лечения (</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r w:rsidRPr="00A11646">
        <w:rPr>
          <w:rFonts w:ascii="Times New Roman" w:eastAsia="Times New Roman" w:hAnsi="Times New Roman"/>
          <w:b/>
          <w:sz w:val="28"/>
          <w:szCs w:val="28"/>
          <w:lang w:val="en-US"/>
        </w:rPr>
        <w:t>m</w:t>
      </w:r>
      <w:r w:rsidRPr="00A11646">
        <w:rPr>
          <w:rFonts w:ascii="Times New Roman" w:eastAsia="Times New Roman" w:hAnsi="Times New Roman"/>
          <w:b/>
          <w:sz w:val="28"/>
          <w:szCs w:val="28"/>
        </w:rPr>
        <w:t>)</w:t>
      </w:r>
    </w:p>
    <w:p w:rsidR="00190E3E" w:rsidRPr="00A11646" w:rsidRDefault="00190E3E" w:rsidP="00190E3E">
      <w:pPr>
        <w:spacing w:after="0" w:line="240" w:lineRule="auto"/>
        <w:jc w:val="center"/>
        <w:rPr>
          <w:rFonts w:ascii="Times New Roman" w:eastAsia="Times New Roman" w:hAnsi="Times New Roman"/>
          <w:b/>
          <w:sz w:val="28"/>
          <w:szCs w:val="28"/>
        </w:rPr>
      </w:pPr>
    </w:p>
    <w:tbl>
      <w:tblPr>
        <w:tblW w:w="4927" w:type="pct"/>
        <w:tblLayout w:type="fixed"/>
        <w:tblLook w:val="04A0"/>
      </w:tblPr>
      <w:tblGrid>
        <w:gridCol w:w="697"/>
        <w:gridCol w:w="1413"/>
        <w:gridCol w:w="2394"/>
        <w:gridCol w:w="2394"/>
        <w:gridCol w:w="2253"/>
      </w:tblGrid>
      <w:tr w:rsidR="00A11646" w:rsidRPr="00A11646" w:rsidTr="00A11646">
        <w:trPr>
          <w:trHeight w:val="340"/>
        </w:trPr>
        <w:tc>
          <w:tcPr>
            <w:tcW w:w="2121"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Тип IG</w:t>
            </w:r>
          </w:p>
        </w:tc>
        <w:tc>
          <w:tcPr>
            <w:tcW w:w="7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После лечения «А» подгруппа</w:t>
            </w:r>
          </w:p>
        </w:tc>
      </w:tr>
      <w:tr w:rsidR="00A11646" w:rsidRPr="00A11646" w:rsidTr="00A11646">
        <w:trPr>
          <w:trHeight w:val="340"/>
        </w:trPr>
        <w:tc>
          <w:tcPr>
            <w:tcW w:w="2121" w:type="dxa"/>
            <w:gridSpan w:val="2"/>
            <w:vMerge/>
            <w:tcBorders>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Мочевина, ммоль/л</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Остаточный азот, ммоль/л</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Креатинин, ммоль/л</w:t>
            </w:r>
          </w:p>
        </w:tc>
      </w:tr>
      <w:tr w:rsidR="00A11646" w:rsidRPr="00A11646" w:rsidTr="00A11646">
        <w:trPr>
          <w:trHeight w:val="340"/>
        </w:trPr>
        <w:tc>
          <w:tcPr>
            <w:tcW w:w="699"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7,7</w:t>
            </w:r>
            <w:r w:rsidRPr="00A11646">
              <w:rPr>
                <w:rFonts w:ascii="Times New Roman" w:eastAsia="Times New Roman" w:hAnsi="Times New Roman"/>
                <w:sz w:val="28"/>
                <w:szCs w:val="28"/>
              </w:rPr>
              <w:t>±</w:t>
            </w:r>
            <w:r w:rsidRPr="00A11646">
              <w:rPr>
                <w:rFonts w:ascii="Times New Roman" w:eastAsia="Times New Roman" w:hAnsi="Times New Roman"/>
                <w:bCs/>
                <w:sz w:val="28"/>
                <w:szCs w:val="28"/>
              </w:rPr>
              <w:t>0,71</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3,7</w:t>
            </w:r>
            <w:r w:rsidRPr="00A11646">
              <w:rPr>
                <w:rFonts w:ascii="Times New Roman" w:eastAsia="Times New Roman" w:hAnsi="Times New Roman"/>
                <w:sz w:val="28"/>
                <w:szCs w:val="28"/>
              </w:rPr>
              <w:t>±</w:t>
            </w:r>
            <w:r w:rsidRPr="00A11646">
              <w:rPr>
                <w:rFonts w:ascii="Times New Roman" w:eastAsia="Times New Roman" w:hAnsi="Times New Roman"/>
                <w:bCs/>
                <w:sz w:val="28"/>
                <w:szCs w:val="28"/>
              </w:rPr>
              <w:t xml:space="preserve"> 0,36</w:t>
            </w:r>
            <w:r w:rsidRPr="00A11646">
              <w:rPr>
                <w:rFonts w:ascii="Times New Roman" w:eastAsia="Times New Roman" w:hAnsi="Times New Roman"/>
                <w:sz w:val="28"/>
                <w:szCs w:val="28"/>
                <w:vertAlign w:val="superscript"/>
              </w:rPr>
              <w:t>*</w:t>
            </w:r>
          </w:p>
        </w:tc>
        <w:tc>
          <w:tcPr>
            <w:tcW w:w="2268"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89,7</w:t>
            </w:r>
            <w:r w:rsidRPr="00A11646">
              <w:rPr>
                <w:rFonts w:ascii="Times New Roman" w:eastAsia="Times New Roman" w:hAnsi="Times New Roman"/>
                <w:sz w:val="28"/>
                <w:szCs w:val="28"/>
              </w:rPr>
              <w:t>±6,0</w:t>
            </w:r>
          </w:p>
        </w:tc>
      </w:tr>
      <w:tr w:rsidR="00A11646" w:rsidRPr="00A11646" w:rsidTr="00A11646">
        <w:trPr>
          <w:trHeight w:val="340"/>
        </w:trPr>
        <w:tc>
          <w:tcPr>
            <w:tcW w:w="699"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G</w:t>
            </w:r>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8,7</w:t>
            </w:r>
            <w:r w:rsidRPr="00A11646">
              <w:rPr>
                <w:rFonts w:ascii="Times New Roman" w:eastAsia="Times New Roman" w:hAnsi="Times New Roman"/>
                <w:sz w:val="28"/>
                <w:szCs w:val="28"/>
              </w:rPr>
              <w:t>±1,2</w:t>
            </w:r>
            <w:r w:rsidRPr="00A11646">
              <w:rPr>
                <w:rFonts w:ascii="Times New Roman" w:eastAsia="Times New Roman" w:hAnsi="Times New Roman"/>
                <w:sz w:val="28"/>
                <w:szCs w:val="28"/>
                <w:vertAlign w:val="superscript"/>
              </w:rPr>
              <w:t>*</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4,1</w:t>
            </w:r>
            <w:r w:rsidRPr="00A11646">
              <w:rPr>
                <w:rFonts w:ascii="Times New Roman" w:eastAsia="Times New Roman" w:hAnsi="Times New Roman"/>
                <w:sz w:val="28"/>
                <w:szCs w:val="28"/>
              </w:rPr>
              <w:t>±0,59</w:t>
            </w:r>
          </w:p>
        </w:tc>
        <w:tc>
          <w:tcPr>
            <w:tcW w:w="2268"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108,7</w:t>
            </w:r>
            <w:r w:rsidRPr="00A11646">
              <w:rPr>
                <w:rFonts w:ascii="Times New Roman" w:eastAsia="Times New Roman" w:hAnsi="Times New Roman"/>
                <w:sz w:val="28"/>
                <w:szCs w:val="28"/>
              </w:rPr>
              <w:t>±18,3</w:t>
            </w:r>
          </w:p>
        </w:tc>
      </w:tr>
      <w:tr w:rsidR="00A11646" w:rsidRPr="00A11646" w:rsidTr="00A11646">
        <w:trPr>
          <w:trHeight w:val="340"/>
        </w:trPr>
        <w:tc>
          <w:tcPr>
            <w:tcW w:w="699" w:type="dxa"/>
            <w:vMerge w:val="restart"/>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9,5</w:t>
            </w:r>
            <w:r w:rsidRPr="00A11646">
              <w:rPr>
                <w:rFonts w:ascii="Times New Roman" w:eastAsia="Times New Roman" w:hAnsi="Times New Roman"/>
                <w:sz w:val="28"/>
                <w:szCs w:val="28"/>
              </w:rPr>
              <w:t>±1,1</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4,4</w:t>
            </w:r>
            <w:r w:rsidRPr="00A11646">
              <w:rPr>
                <w:rFonts w:ascii="Times New Roman" w:eastAsia="Times New Roman" w:hAnsi="Times New Roman"/>
                <w:sz w:val="28"/>
                <w:szCs w:val="28"/>
              </w:rPr>
              <w:t>±0,52</w:t>
            </w:r>
          </w:p>
        </w:tc>
        <w:tc>
          <w:tcPr>
            <w:tcW w:w="2268"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86,8</w:t>
            </w:r>
            <w:r w:rsidRPr="00A11646">
              <w:rPr>
                <w:rFonts w:ascii="Times New Roman" w:eastAsia="Times New Roman" w:hAnsi="Times New Roman"/>
                <w:sz w:val="28"/>
                <w:szCs w:val="28"/>
              </w:rPr>
              <w:t>±6,1</w:t>
            </w:r>
          </w:p>
        </w:tc>
      </w:tr>
      <w:tr w:rsidR="00A11646" w:rsidRPr="00A11646" w:rsidTr="00A11646">
        <w:trPr>
          <w:trHeight w:val="340"/>
        </w:trPr>
        <w:tc>
          <w:tcPr>
            <w:tcW w:w="699" w:type="dxa"/>
            <w:vMerge/>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9,3</w:t>
            </w:r>
            <w:r w:rsidRPr="00A11646">
              <w:rPr>
                <w:rFonts w:ascii="Times New Roman" w:eastAsia="Times New Roman" w:hAnsi="Times New Roman"/>
                <w:sz w:val="28"/>
                <w:szCs w:val="28"/>
              </w:rPr>
              <w:t>±2,3</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4,3</w:t>
            </w:r>
            <w:r w:rsidRPr="00A11646">
              <w:rPr>
                <w:rFonts w:ascii="Times New Roman" w:eastAsia="Times New Roman" w:hAnsi="Times New Roman"/>
                <w:sz w:val="28"/>
                <w:szCs w:val="28"/>
              </w:rPr>
              <w:t>±1,1</w:t>
            </w:r>
          </w:p>
        </w:tc>
        <w:tc>
          <w:tcPr>
            <w:tcW w:w="2268"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92,2</w:t>
            </w:r>
            <w:r w:rsidRPr="00A11646">
              <w:rPr>
                <w:rFonts w:ascii="Times New Roman" w:eastAsia="Times New Roman" w:hAnsi="Times New Roman"/>
                <w:sz w:val="28"/>
                <w:szCs w:val="28"/>
              </w:rPr>
              <w:t>±5,7</w:t>
            </w:r>
            <w:r w:rsidRPr="00A11646">
              <w:rPr>
                <w:rFonts w:ascii="Times New Roman" w:eastAsia="Times New Roman" w:hAnsi="Times New Roman"/>
                <w:sz w:val="28"/>
                <w:szCs w:val="28"/>
                <w:vertAlign w:val="superscript"/>
              </w:rPr>
              <w:t>*</w:t>
            </w:r>
          </w:p>
        </w:tc>
      </w:tr>
      <w:tr w:rsidR="00A11646" w:rsidRPr="00A11646" w:rsidTr="00A11646">
        <w:trPr>
          <w:trHeight w:val="340"/>
        </w:trPr>
        <w:tc>
          <w:tcPr>
            <w:tcW w:w="21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10,5+1,9</w:t>
            </w:r>
          </w:p>
        </w:tc>
        <w:tc>
          <w:tcPr>
            <w:tcW w:w="2410"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5,1±0,85</w:t>
            </w:r>
          </w:p>
        </w:tc>
        <w:tc>
          <w:tcPr>
            <w:tcW w:w="2268"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bCs/>
                <w:sz w:val="28"/>
                <w:szCs w:val="28"/>
              </w:rPr>
              <w:t>103,4</w:t>
            </w:r>
            <w:r w:rsidRPr="00A11646">
              <w:rPr>
                <w:rFonts w:ascii="Times New Roman" w:eastAsia="Times New Roman" w:hAnsi="Times New Roman"/>
                <w:sz w:val="28"/>
                <w:szCs w:val="28"/>
              </w:rPr>
              <w:t>±10,7</w:t>
            </w:r>
          </w:p>
        </w:tc>
      </w:tr>
      <w:tr w:rsidR="00A11646" w:rsidRPr="00A11646" w:rsidTr="00A11646">
        <w:trPr>
          <w:trHeight w:val="340"/>
        </w:trPr>
        <w:tc>
          <w:tcPr>
            <w:tcW w:w="2121"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Тип IG</w:t>
            </w:r>
          </w:p>
        </w:tc>
        <w:tc>
          <w:tcPr>
            <w:tcW w:w="7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После лечения «Б» подгруппа</w:t>
            </w:r>
          </w:p>
        </w:tc>
      </w:tr>
      <w:tr w:rsidR="00A11646" w:rsidRPr="00A11646" w:rsidTr="00A11646">
        <w:trPr>
          <w:trHeight w:val="340"/>
        </w:trPr>
        <w:tc>
          <w:tcPr>
            <w:tcW w:w="2121" w:type="dxa"/>
            <w:gridSpan w:val="2"/>
            <w:vMerge/>
            <w:tcBorders>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Мочевина, ммоль/л</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Остаточный азот, ммоль/л</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Креатинин, ммоль/л</w:t>
            </w:r>
          </w:p>
        </w:tc>
      </w:tr>
      <w:tr w:rsidR="00A11646" w:rsidRPr="00A11646" w:rsidTr="00A11646">
        <w:trPr>
          <w:trHeight w:val="340"/>
        </w:trPr>
        <w:tc>
          <w:tcPr>
            <w:tcW w:w="699"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bookmarkStart w:id="179" w:name="_Hlk6352336"/>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7,1±2,6</w:t>
            </w:r>
          </w:p>
        </w:tc>
        <w:tc>
          <w:tcPr>
            <w:tcW w:w="2410"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3,6± 0,3*</w:t>
            </w:r>
          </w:p>
        </w:tc>
        <w:tc>
          <w:tcPr>
            <w:tcW w:w="2268"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78,8±2,7**</w:t>
            </w:r>
          </w:p>
        </w:tc>
      </w:tr>
      <w:tr w:rsidR="00A11646" w:rsidRPr="00A11646" w:rsidTr="00A11646">
        <w:trPr>
          <w:trHeight w:val="340"/>
        </w:trPr>
        <w:tc>
          <w:tcPr>
            <w:tcW w:w="699" w:type="dxa"/>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G</w:t>
            </w:r>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6,6±0,6**</w:t>
            </w:r>
          </w:p>
        </w:tc>
        <w:tc>
          <w:tcPr>
            <w:tcW w:w="2410"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3,07±0,24**</w:t>
            </w:r>
          </w:p>
        </w:tc>
        <w:tc>
          <w:tcPr>
            <w:tcW w:w="2268"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80,15±3,2*</w:t>
            </w:r>
          </w:p>
        </w:tc>
      </w:tr>
      <w:tr w:rsidR="00A11646" w:rsidRPr="00A11646" w:rsidTr="00A11646">
        <w:trPr>
          <w:trHeight w:val="340"/>
        </w:trPr>
        <w:tc>
          <w:tcPr>
            <w:tcW w:w="699" w:type="dxa"/>
            <w:vMerge w:val="restart"/>
            <w:tcBorders>
              <w:top w:val="nil"/>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А</w:t>
            </w:r>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κ</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8,6±0,6</w:t>
            </w:r>
          </w:p>
        </w:tc>
        <w:tc>
          <w:tcPr>
            <w:tcW w:w="2410"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3,1±3,1</w:t>
            </w:r>
          </w:p>
        </w:tc>
        <w:tc>
          <w:tcPr>
            <w:tcW w:w="2268"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88,9±4,9</w:t>
            </w:r>
          </w:p>
        </w:tc>
      </w:tr>
      <w:tr w:rsidR="00A11646" w:rsidRPr="00A11646" w:rsidTr="00A11646">
        <w:trPr>
          <w:trHeight w:val="340"/>
        </w:trPr>
        <w:tc>
          <w:tcPr>
            <w:tcW w:w="699" w:type="dxa"/>
            <w:vMerge/>
            <w:tcBorders>
              <w:top w:val="nil"/>
              <w:left w:val="single" w:sz="4" w:space="0" w:color="auto"/>
              <w:bottom w:val="single" w:sz="4" w:space="0" w:color="auto"/>
              <w:right w:val="single" w:sz="4" w:space="0" w:color="auto"/>
            </w:tcBorders>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p>
        </w:tc>
        <w:tc>
          <w:tcPr>
            <w:tcW w:w="1422" w:type="dxa"/>
            <w:tcBorders>
              <w:top w:val="nil"/>
              <w:left w:val="nil"/>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λ</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4,8±0,44*</w:t>
            </w:r>
          </w:p>
        </w:tc>
        <w:tc>
          <w:tcPr>
            <w:tcW w:w="2410"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2,3±0,2**</w:t>
            </w:r>
          </w:p>
        </w:tc>
        <w:tc>
          <w:tcPr>
            <w:tcW w:w="2268"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75,9±3,2**</w:t>
            </w:r>
          </w:p>
        </w:tc>
      </w:tr>
      <w:tr w:rsidR="00A11646" w:rsidRPr="00A11646" w:rsidTr="00A11646">
        <w:trPr>
          <w:trHeight w:val="340"/>
        </w:trPr>
        <w:tc>
          <w:tcPr>
            <w:tcW w:w="21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eastAsia="Times New Roman" w:hAnsi="Times New Roman"/>
                <w:sz w:val="28"/>
                <w:szCs w:val="28"/>
              </w:rPr>
              <w:t>Другие типы</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6,7±0,34*</w:t>
            </w:r>
          </w:p>
        </w:tc>
        <w:tc>
          <w:tcPr>
            <w:tcW w:w="2410"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2,85±0,24**</w:t>
            </w:r>
          </w:p>
        </w:tc>
        <w:tc>
          <w:tcPr>
            <w:tcW w:w="2268" w:type="dxa"/>
            <w:tcBorders>
              <w:top w:val="single" w:sz="4" w:space="0" w:color="auto"/>
              <w:left w:val="nil"/>
              <w:bottom w:val="single" w:sz="4" w:space="0" w:color="auto"/>
              <w:right w:val="single" w:sz="4" w:space="0" w:color="auto"/>
            </w:tcBorders>
            <w:shd w:val="clear" w:color="auto" w:fill="auto"/>
            <w:hideMark/>
          </w:tcPr>
          <w:p w:rsidR="00190E3E" w:rsidRPr="00A11646" w:rsidRDefault="00190E3E" w:rsidP="00A11646">
            <w:pPr>
              <w:spacing w:after="0" w:line="240" w:lineRule="auto"/>
              <w:jc w:val="center"/>
              <w:rPr>
                <w:rFonts w:ascii="Times New Roman" w:eastAsia="Times New Roman" w:hAnsi="Times New Roman"/>
                <w:sz w:val="28"/>
                <w:szCs w:val="28"/>
              </w:rPr>
            </w:pPr>
            <w:r w:rsidRPr="00A11646">
              <w:rPr>
                <w:rFonts w:ascii="Times New Roman" w:hAnsi="Times New Roman"/>
                <w:sz w:val="28"/>
                <w:szCs w:val="28"/>
              </w:rPr>
              <w:t>74,4±2,1*</w:t>
            </w:r>
          </w:p>
        </w:tc>
      </w:tr>
    </w:tbl>
    <w:bookmarkEnd w:id="179"/>
    <w:p w:rsidR="00190E3E" w:rsidRPr="00A11646" w:rsidRDefault="00190E3E" w:rsidP="00190E3E">
      <w:pPr>
        <w:spacing w:after="0" w:line="24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rPr>
        <w:t>*- достоверно по сравнению с показателями до лечении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w:t>
      </w:r>
    </w:p>
    <w:p w:rsidR="00190E3E" w:rsidRPr="00A11646" w:rsidRDefault="00190E3E" w:rsidP="00190E3E">
      <w:pPr>
        <w:autoSpaceDE w:val="0"/>
        <w:autoSpaceDN w:val="0"/>
        <w:adjustRightInd w:val="0"/>
        <w:spacing w:after="0" w:line="360" w:lineRule="auto"/>
        <w:ind w:firstLine="708"/>
        <w:jc w:val="right"/>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bookmarkStart w:id="180" w:name="_Hlk7277751"/>
      <w:r w:rsidRPr="00A11646">
        <w:rPr>
          <w:rFonts w:ascii="Times New Roman" w:eastAsia="Times New Roman" w:hAnsi="Times New Roman"/>
          <w:sz w:val="28"/>
          <w:szCs w:val="28"/>
          <w:lang w:val="uz-Cyrl-UZ"/>
        </w:rPr>
        <w:t xml:space="preserve">Результаты исследования приведенные в таблице 4.2.2.2 показывают снижение уровня мочевины и креатинина после лечения в обеих подгруппах в отношении с таковыми до лечения. </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lang w:val="uz-Cyrl-UZ"/>
        </w:rPr>
        <w:t xml:space="preserve">В “А” подгруппе </w:t>
      </w:r>
      <w:r w:rsidRPr="00A11646">
        <w:rPr>
          <w:rFonts w:ascii="Times New Roman" w:hAnsi="Times New Roman"/>
          <w:sz w:val="28"/>
          <w:szCs w:val="28"/>
        </w:rPr>
        <w:t>после лечения уровень мочевины</w:t>
      </w:r>
      <w:r w:rsidRPr="00A11646">
        <w:rPr>
          <w:rFonts w:ascii="Times New Roman" w:eastAsia="Times New Roman" w:hAnsi="Times New Roman"/>
          <w:sz w:val="28"/>
          <w:szCs w:val="28"/>
        </w:rPr>
        <w:t xml:space="preserve"> в сравнении с результатами до лечения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κ   снижался в 1,18 (</w:t>
      </w:r>
      <w:r w:rsidRPr="00A11646">
        <w:rPr>
          <w:rFonts w:ascii="Times New Roman" w:eastAsia="Times New Roman" w:hAnsi="Times New Roman"/>
          <w:sz w:val="28"/>
          <w:szCs w:val="28"/>
          <w:lang w:val="uz-Cyrl-UZ"/>
        </w:rPr>
        <w:t>7,7</w:t>
      </w:r>
      <w:r w:rsidRPr="00A11646">
        <w:rPr>
          <w:rFonts w:ascii="Times New Roman" w:eastAsia="Times New Roman" w:hAnsi="Times New Roman"/>
          <w:sz w:val="28"/>
          <w:szCs w:val="28"/>
        </w:rPr>
        <w:t>±0,71млмоль/л против</w:t>
      </w:r>
      <w:r w:rsidR="00B05A09">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uz-Cyrl-UZ"/>
        </w:rPr>
        <w:t>9,1</w:t>
      </w:r>
      <w:r w:rsidRPr="00A11646">
        <w:rPr>
          <w:rFonts w:ascii="Times New Roman" w:eastAsia="Times New Roman" w:hAnsi="Times New Roman"/>
          <w:sz w:val="28"/>
          <w:szCs w:val="28"/>
        </w:rPr>
        <w:t xml:space="preserve">±0,49ммоль/л;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 xml:space="preserve">0,05),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 в 1,44 (</w:t>
      </w:r>
      <w:r w:rsidRPr="00A11646">
        <w:rPr>
          <w:rFonts w:ascii="Times New Roman" w:eastAsia="Times New Roman" w:hAnsi="Times New Roman"/>
          <w:sz w:val="28"/>
          <w:szCs w:val="28"/>
          <w:lang w:val="uz-Cyrl-UZ"/>
        </w:rPr>
        <w:t>8,7</w:t>
      </w:r>
      <w:r w:rsidRPr="00A11646">
        <w:rPr>
          <w:rFonts w:ascii="Times New Roman" w:eastAsia="Times New Roman" w:hAnsi="Times New Roman"/>
          <w:sz w:val="28"/>
          <w:szCs w:val="28"/>
        </w:rPr>
        <w:t xml:space="preserve">±1,2млмоль/л против </w:t>
      </w:r>
      <w:r w:rsidRPr="00A11646">
        <w:rPr>
          <w:rFonts w:ascii="Times New Roman" w:eastAsia="Times New Roman" w:hAnsi="Times New Roman"/>
          <w:sz w:val="28"/>
          <w:szCs w:val="28"/>
          <w:lang w:val="uz-Cyrl-UZ"/>
        </w:rPr>
        <w:t>12,6</w:t>
      </w:r>
      <w:r w:rsidRPr="00A11646">
        <w:rPr>
          <w:rFonts w:ascii="Times New Roman" w:eastAsia="Times New Roman" w:hAnsi="Times New Roman"/>
          <w:sz w:val="28"/>
          <w:szCs w:val="28"/>
        </w:rPr>
        <w:t xml:space="preserve">±1,6 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 при варианте</w:t>
      </w:r>
      <w:r w:rsidR="00B05A09">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λ в 1,13 (9,3±2,3 млмоль/л против 10,5±2,0млмоль/л;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 xml:space="preserve">). Однако этот показатель при редких вариантах   повышался в 1,09 раз по отношению к значению до лечения(10,5±1,9млмоль/л против 9,6±1,1млмоль/л;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lang w:val="uz-Cyrl-UZ"/>
        </w:rPr>
        <w:t xml:space="preserve">В “Б” подгруппе </w:t>
      </w:r>
      <w:r w:rsidRPr="00A11646">
        <w:rPr>
          <w:rFonts w:ascii="Times New Roman" w:hAnsi="Times New Roman"/>
          <w:sz w:val="28"/>
          <w:szCs w:val="28"/>
        </w:rPr>
        <w:t>после лечения уровень мочевины</w:t>
      </w:r>
      <w:r w:rsidRPr="00A11646">
        <w:rPr>
          <w:rFonts w:ascii="Times New Roman" w:eastAsia="Times New Roman" w:hAnsi="Times New Roman"/>
          <w:sz w:val="28"/>
          <w:szCs w:val="28"/>
        </w:rPr>
        <w:t xml:space="preserve"> в сравнении с результатами до лечения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κ снижался в 1,3 (</w:t>
      </w:r>
      <w:r w:rsidRPr="00A11646">
        <w:rPr>
          <w:rFonts w:ascii="Times New Roman" w:eastAsia="Times New Roman" w:hAnsi="Times New Roman"/>
          <w:sz w:val="28"/>
          <w:szCs w:val="28"/>
          <w:lang w:val="uz-Cyrl-UZ"/>
        </w:rPr>
        <w:t>7,1</w:t>
      </w:r>
      <w:r w:rsidRPr="00A11646">
        <w:rPr>
          <w:rFonts w:ascii="Times New Roman" w:eastAsia="Times New Roman" w:hAnsi="Times New Roman"/>
          <w:sz w:val="28"/>
          <w:szCs w:val="28"/>
        </w:rPr>
        <w:t>±2,6млмоль/л против</w:t>
      </w:r>
      <w:r w:rsidRPr="00A11646">
        <w:rPr>
          <w:rFonts w:ascii="Times New Roman" w:eastAsia="Times New Roman" w:hAnsi="Times New Roman"/>
          <w:sz w:val="28"/>
          <w:szCs w:val="28"/>
          <w:lang w:val="uz-Cyrl-UZ"/>
        </w:rPr>
        <w:t xml:space="preserve"> 9,1</w:t>
      </w:r>
      <w:r w:rsidRPr="00A11646">
        <w:rPr>
          <w:rFonts w:ascii="Times New Roman" w:eastAsia="Times New Roman" w:hAnsi="Times New Roman"/>
          <w:sz w:val="28"/>
          <w:szCs w:val="28"/>
        </w:rPr>
        <w:t xml:space="preserve">±0,49 ммоль/л;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 xml:space="preserve">0,05),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λ в 1,9 </w:t>
      </w:r>
      <w:r w:rsidRPr="00A11646">
        <w:rPr>
          <w:rFonts w:ascii="Times New Roman" w:eastAsia="Times New Roman" w:hAnsi="Times New Roman"/>
          <w:sz w:val="28"/>
          <w:szCs w:val="28"/>
        </w:rPr>
        <w:lastRenderedPageBreak/>
        <w:t xml:space="preserve">(6,6±0,6млмоль/л против </w:t>
      </w:r>
      <w:r w:rsidRPr="00A11646">
        <w:rPr>
          <w:rFonts w:ascii="Times New Roman" w:eastAsia="Times New Roman" w:hAnsi="Times New Roman"/>
          <w:sz w:val="28"/>
          <w:szCs w:val="28"/>
          <w:lang w:val="uz-Cyrl-UZ"/>
        </w:rPr>
        <w:t>12,6</w:t>
      </w:r>
      <w:r w:rsidRPr="00A11646">
        <w:rPr>
          <w:rFonts w:ascii="Times New Roman" w:eastAsia="Times New Roman" w:hAnsi="Times New Roman"/>
          <w:sz w:val="28"/>
          <w:szCs w:val="28"/>
        </w:rPr>
        <w:t xml:space="preserve">±1,6 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0,01), при</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 в 1,1 (8,6±0,6млмоль/л против</w:t>
      </w:r>
      <w:r w:rsidRPr="00A11646">
        <w:rPr>
          <w:rFonts w:ascii="Times New Roman" w:hAnsi="Times New Roman"/>
          <w:sz w:val="28"/>
          <w:szCs w:val="28"/>
        </w:rPr>
        <w:t>9,6</w:t>
      </w:r>
      <w:r w:rsidRPr="00A11646">
        <w:rPr>
          <w:rFonts w:ascii="Times New Roman" w:eastAsia="Times New Roman" w:hAnsi="Times New Roman"/>
          <w:sz w:val="28"/>
          <w:szCs w:val="28"/>
        </w:rPr>
        <w:t xml:space="preserve">±0,85 млмоль; </w:t>
      </w:r>
      <w:r w:rsidRPr="00A11646">
        <w:rPr>
          <w:rFonts w:ascii="Times New Roman" w:eastAsia="Times New Roman" w:hAnsi="Times New Roman"/>
          <w:sz w:val="28"/>
          <w:szCs w:val="28"/>
          <w:lang w:val="uz-Cyrl-UZ"/>
        </w:rPr>
        <w:t>р&gt;0,05), при варианте</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λ в 2,2 (4,8±44млмоль/л против 10,5±2,0 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 xml:space="preserve">), при редких вариантах в 1,4 (6,7±0,34млмоль/л против 9,6±1,1 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 раз.</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rPr>
        <w:t>Из приведенных данных следует, что в «А» подгруппе уровень мочевины при вариантах</w:t>
      </w:r>
      <w:r w:rsidR="00876211">
        <w:rPr>
          <w:rFonts w:ascii="Times New Roman" w:eastAsia="Times New Roman" w:hAnsi="Times New Roman"/>
          <w:sz w:val="28"/>
          <w:szCs w:val="28"/>
          <w:lang w:val="uz-Cyrl-UZ"/>
        </w:rPr>
        <w:t xml:space="preserve">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 xml:space="preserve">κ,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 и редких вариантах после лечения остается повышенным, и свидетельствует о неполном ответе на проведенную терапию. В подгруппе «Б» уровень креатинина снизился до нормальных значений, что оправдывает эффективность проведения аутоТГСК у больных ММ.</w:t>
      </w:r>
    </w:p>
    <w:p w:rsidR="00190E3E" w:rsidRPr="00A11646" w:rsidRDefault="00190E3E" w:rsidP="00190E3E">
      <w:pPr>
        <w:spacing w:after="0" w:line="360" w:lineRule="auto"/>
        <w:jc w:val="both"/>
        <w:rPr>
          <w:rFonts w:ascii="Times New Roman" w:hAnsi="Times New Roman"/>
          <w:sz w:val="28"/>
          <w:szCs w:val="28"/>
        </w:rPr>
      </w:pPr>
      <w:r w:rsidRPr="00A11646">
        <w:rPr>
          <w:rFonts w:ascii="Times New Roman" w:hAnsi="Times New Roman"/>
          <w:sz w:val="28"/>
          <w:szCs w:val="28"/>
        </w:rPr>
        <w:tab/>
      </w:r>
      <w:bookmarkStart w:id="181" w:name="_Hlk6351346"/>
      <w:r w:rsidRPr="00A11646">
        <w:rPr>
          <w:rFonts w:ascii="Times New Roman" w:hAnsi="Times New Roman"/>
          <w:sz w:val="28"/>
          <w:szCs w:val="28"/>
        </w:rPr>
        <w:t xml:space="preserve">Динамика и сравнительный анализ результатов изучения уровня мочевины до и после лечения </w:t>
      </w:r>
      <w:bookmarkEnd w:id="181"/>
      <w:r w:rsidRPr="00A11646">
        <w:rPr>
          <w:rFonts w:ascii="Times New Roman" w:hAnsi="Times New Roman"/>
          <w:sz w:val="28"/>
          <w:szCs w:val="28"/>
        </w:rPr>
        <w:t>показана на рис. 4.2.2.2.</w:t>
      </w:r>
    </w:p>
    <w:bookmarkEnd w:id="180"/>
    <w:p w:rsidR="00190E3E" w:rsidRPr="00A11646" w:rsidRDefault="00190E3E" w:rsidP="00190E3E">
      <w:pPr>
        <w:spacing w:after="0" w:line="240" w:lineRule="auto"/>
        <w:jc w:val="both"/>
        <w:rPr>
          <w:rFonts w:ascii="Times New Roman" w:hAnsi="Times New Roman"/>
          <w:sz w:val="28"/>
          <w:szCs w:val="28"/>
        </w:rPr>
      </w:pPr>
    </w:p>
    <w:p w:rsidR="00190E3E" w:rsidRPr="00A11646" w:rsidRDefault="00190E3E" w:rsidP="00190E3E">
      <w:pPr>
        <w:spacing w:after="0" w:line="240" w:lineRule="auto"/>
        <w:jc w:val="both"/>
        <w:rPr>
          <w:rFonts w:ascii="Times New Roman" w:hAnsi="Times New Roman"/>
          <w:sz w:val="28"/>
          <w:szCs w:val="28"/>
        </w:rPr>
      </w:pPr>
    </w:p>
    <w:p w:rsidR="00190E3E" w:rsidRPr="00A11646" w:rsidRDefault="00190E3E" w:rsidP="00190E3E">
      <w:pPr>
        <w:spacing w:after="0" w:line="240" w:lineRule="auto"/>
        <w:ind w:firstLine="708"/>
        <w:jc w:val="both"/>
        <w:rPr>
          <w:rFonts w:ascii="Times New Roman" w:hAnsi="Times New Roman"/>
          <w:sz w:val="28"/>
          <w:szCs w:val="28"/>
        </w:rPr>
      </w:pPr>
      <w:r w:rsidRPr="00A11646">
        <w:rPr>
          <w:rFonts w:ascii="Times New Roman" w:eastAsia="Times New Roman" w:hAnsi="Times New Roman"/>
          <w:b/>
          <w:noProof/>
          <w:sz w:val="28"/>
          <w:szCs w:val="28"/>
        </w:rPr>
        <w:drawing>
          <wp:inline distT="0" distB="0" distL="0" distR="0">
            <wp:extent cx="5486400" cy="3200400"/>
            <wp:effectExtent l="19050" t="0" r="1905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0E3E" w:rsidRPr="00A11646" w:rsidRDefault="00190E3E" w:rsidP="00190E3E">
      <w:pPr>
        <w:spacing w:after="0" w:line="240" w:lineRule="auto"/>
        <w:jc w:val="both"/>
        <w:rPr>
          <w:rFonts w:ascii="Times New Roman" w:hAnsi="Times New Roman"/>
          <w:sz w:val="28"/>
          <w:szCs w:val="28"/>
        </w:rPr>
      </w:pPr>
    </w:p>
    <w:p w:rsidR="00190E3E" w:rsidRPr="00A11646" w:rsidRDefault="00190E3E" w:rsidP="00190E3E">
      <w:pPr>
        <w:spacing w:after="0" w:line="360" w:lineRule="auto"/>
        <w:ind w:firstLine="708"/>
        <w:jc w:val="both"/>
        <w:rPr>
          <w:rFonts w:ascii="Times New Roman" w:hAnsi="Times New Roman"/>
          <w:b/>
          <w:sz w:val="28"/>
          <w:szCs w:val="28"/>
        </w:rPr>
      </w:pPr>
      <w:r w:rsidRPr="00A11646">
        <w:rPr>
          <w:rFonts w:ascii="Times New Roman" w:hAnsi="Times New Roman"/>
          <w:b/>
          <w:sz w:val="28"/>
          <w:szCs w:val="28"/>
        </w:rPr>
        <w:t>Рис. 4.2.2.2. Динамика и сравнительный анализ результатов изучения уровня мочевины у больных ММ до и после лечения.</w:t>
      </w:r>
    </w:p>
    <w:p w:rsidR="00190E3E" w:rsidRPr="00A11646" w:rsidRDefault="00190E3E" w:rsidP="00190E3E">
      <w:pPr>
        <w:spacing w:after="0" w:line="360" w:lineRule="auto"/>
        <w:jc w:val="both"/>
        <w:rPr>
          <w:rFonts w:ascii="Times New Roman" w:hAnsi="Times New Roman"/>
          <w:b/>
          <w:sz w:val="28"/>
          <w:szCs w:val="28"/>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bookmarkStart w:id="182" w:name="_Hlk7277767"/>
      <w:r w:rsidRPr="00A11646">
        <w:rPr>
          <w:rFonts w:ascii="Times New Roman" w:eastAsia="Times New Roman" w:hAnsi="Times New Roman"/>
          <w:sz w:val="28"/>
          <w:szCs w:val="28"/>
        </w:rPr>
        <w:t>Уровень остаточного азота у всех обследованных больных как до лечения, так и после находился в пределах нормы (табл. 4.2.2.2.).</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hAnsi="Times New Roman"/>
          <w:sz w:val="28"/>
          <w:szCs w:val="28"/>
        </w:rPr>
        <w:lastRenderedPageBreak/>
        <w:t xml:space="preserve">Анализ уровня креатинина позволил отметить положительную динамику после лечения практически у всех больных в исследуемых подгруппах, характеризующуюся снижением его уровня. </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lang w:val="uz-Cyrl-UZ"/>
        </w:rPr>
        <w:t xml:space="preserve">В “А” подгруппе </w:t>
      </w:r>
      <w:r w:rsidRPr="00A11646">
        <w:rPr>
          <w:rFonts w:ascii="Times New Roman" w:hAnsi="Times New Roman"/>
          <w:sz w:val="28"/>
          <w:szCs w:val="28"/>
        </w:rPr>
        <w:t xml:space="preserve">после проведенной высокодозной ПХТ </w:t>
      </w:r>
      <w:r w:rsidRPr="00A11646">
        <w:rPr>
          <w:rFonts w:ascii="Times New Roman" w:eastAsia="Times New Roman" w:hAnsi="Times New Roman"/>
          <w:sz w:val="28"/>
          <w:szCs w:val="28"/>
        </w:rPr>
        <w:t xml:space="preserve">в сравнении со значениями до лечения  </w:t>
      </w:r>
      <w:r w:rsidRPr="00A11646">
        <w:rPr>
          <w:rFonts w:ascii="Times New Roman" w:hAnsi="Times New Roman"/>
          <w:sz w:val="28"/>
          <w:szCs w:val="28"/>
        </w:rPr>
        <w:t>уровень креатинина</w:t>
      </w:r>
      <w:r w:rsidRPr="00A11646">
        <w:rPr>
          <w:rFonts w:ascii="Times New Roman" w:eastAsia="Times New Roman" w:hAnsi="Times New Roman"/>
          <w:sz w:val="28"/>
          <w:szCs w:val="28"/>
        </w:rPr>
        <w:t xml:space="preserve"> при варианте </w:t>
      </w:r>
      <w:bookmarkStart w:id="183" w:name="_Hlk6352319"/>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κ снижался в 1,0 (</w:t>
      </w:r>
      <w:r w:rsidRPr="00A11646">
        <w:rPr>
          <w:rFonts w:ascii="Times New Roman" w:eastAsia="Times New Roman" w:hAnsi="Times New Roman"/>
          <w:sz w:val="28"/>
          <w:szCs w:val="28"/>
          <w:lang w:val="uz-Cyrl-UZ"/>
        </w:rPr>
        <w:t>89,7</w:t>
      </w:r>
      <w:r w:rsidRPr="00A11646">
        <w:rPr>
          <w:rFonts w:ascii="Times New Roman" w:eastAsia="Times New Roman" w:hAnsi="Times New Roman"/>
          <w:sz w:val="28"/>
          <w:szCs w:val="28"/>
        </w:rPr>
        <w:t>±6,0 млмоль/л против</w:t>
      </w:r>
      <w:r w:rsidRPr="00A11646">
        <w:rPr>
          <w:rFonts w:ascii="Times New Roman" w:eastAsia="Times New Roman" w:hAnsi="Times New Roman"/>
          <w:sz w:val="28"/>
          <w:szCs w:val="28"/>
          <w:lang w:val="uz-Cyrl-UZ"/>
        </w:rPr>
        <w:t xml:space="preserve"> 98,6</w:t>
      </w:r>
      <w:r w:rsidRPr="00A11646">
        <w:rPr>
          <w:rFonts w:ascii="Times New Roman" w:eastAsia="Times New Roman" w:hAnsi="Times New Roman"/>
          <w:sz w:val="28"/>
          <w:szCs w:val="28"/>
        </w:rPr>
        <w:t xml:space="preserve">±4,8 ммоль/л; </w:t>
      </w:r>
      <w:r w:rsidRPr="00A11646">
        <w:rPr>
          <w:rFonts w:ascii="Times New Roman" w:eastAsia="Times New Roman" w:hAnsi="Times New Roman"/>
          <w:sz w:val="28"/>
          <w:szCs w:val="28"/>
          <w:lang w:val="uz-Cyrl-UZ"/>
        </w:rPr>
        <w:t xml:space="preserve">р&gt;0,05),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 в 1,36 (</w:t>
      </w:r>
      <w:r w:rsidRPr="00A11646">
        <w:rPr>
          <w:rFonts w:ascii="Times New Roman" w:eastAsia="Times New Roman" w:hAnsi="Times New Roman"/>
          <w:sz w:val="28"/>
          <w:szCs w:val="28"/>
          <w:lang w:val="uz-Cyrl-UZ"/>
        </w:rPr>
        <w:t>108,7</w:t>
      </w:r>
      <w:r w:rsidRPr="00A11646">
        <w:rPr>
          <w:rFonts w:ascii="Times New Roman" w:eastAsia="Times New Roman" w:hAnsi="Times New Roman"/>
          <w:sz w:val="28"/>
          <w:szCs w:val="28"/>
        </w:rPr>
        <w:t xml:space="preserve">±18,3 млмоль/л против </w:t>
      </w:r>
      <w:r w:rsidRPr="00A11646">
        <w:rPr>
          <w:rFonts w:ascii="Times New Roman" w:eastAsia="Times New Roman" w:hAnsi="Times New Roman"/>
          <w:sz w:val="28"/>
          <w:szCs w:val="28"/>
          <w:lang w:val="uz-Cyrl-UZ"/>
        </w:rPr>
        <w:t>148,7</w:t>
      </w:r>
      <w:r w:rsidRPr="00A11646">
        <w:rPr>
          <w:rFonts w:ascii="Times New Roman" w:eastAsia="Times New Roman" w:hAnsi="Times New Roman"/>
          <w:sz w:val="28"/>
          <w:szCs w:val="28"/>
        </w:rPr>
        <w:t xml:space="preserve">±35,0 млмоль/л; </w:t>
      </w:r>
      <w:r w:rsidRPr="00A11646">
        <w:rPr>
          <w:rFonts w:ascii="Times New Roman" w:eastAsia="Times New Roman" w:hAnsi="Times New Roman"/>
          <w:sz w:val="28"/>
          <w:szCs w:val="28"/>
          <w:lang w:val="uz-Cyrl-UZ"/>
        </w:rPr>
        <w:t>р&gt;0,05), при</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 в 1,37 (86,8±6,1 млмоль/л против</w:t>
      </w:r>
      <w:r w:rsidRPr="00A11646">
        <w:rPr>
          <w:rFonts w:ascii="Times New Roman" w:hAnsi="Times New Roman"/>
          <w:sz w:val="28"/>
          <w:szCs w:val="28"/>
        </w:rPr>
        <w:t>119,0</w:t>
      </w:r>
      <w:r w:rsidRPr="00A11646">
        <w:rPr>
          <w:rFonts w:ascii="Times New Roman" w:eastAsia="Times New Roman" w:hAnsi="Times New Roman"/>
          <w:sz w:val="28"/>
          <w:szCs w:val="28"/>
        </w:rPr>
        <w:t xml:space="preserve">±18,6 млмоль; </w:t>
      </w:r>
      <w:r w:rsidRPr="00A11646">
        <w:rPr>
          <w:rFonts w:ascii="Times New Roman" w:eastAsia="Times New Roman" w:hAnsi="Times New Roman"/>
          <w:sz w:val="28"/>
          <w:szCs w:val="28"/>
          <w:lang w:val="uz-Cyrl-UZ"/>
        </w:rPr>
        <w:t>р&gt;0,05), при варианте</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λ в 1,26 (92,2±5,7млмоль/л против 116,6±12,7млмоль/л; </w:t>
      </w:r>
      <w:r w:rsidRPr="00A11646">
        <w:rPr>
          <w:rFonts w:ascii="Times New Roman" w:eastAsia="Times New Roman" w:hAnsi="Times New Roman"/>
          <w:sz w:val="28"/>
          <w:szCs w:val="28"/>
          <w:lang w:val="uz-Cyrl-UZ"/>
        </w:rPr>
        <w:t>р&lt;0,05</w:t>
      </w:r>
      <w:r w:rsidRPr="00A11646">
        <w:rPr>
          <w:rFonts w:ascii="Times New Roman" w:eastAsia="Times New Roman" w:hAnsi="Times New Roman"/>
          <w:sz w:val="28"/>
          <w:szCs w:val="28"/>
        </w:rPr>
        <w:t xml:space="preserve">), при редких вариантах в 1,6 раз  (103,4±10,7млмоль/л против 164,6±41,3млмоль/л; </w:t>
      </w:r>
      <w:r w:rsidRPr="00A11646">
        <w:rPr>
          <w:rFonts w:ascii="Times New Roman" w:eastAsia="Times New Roman" w:hAnsi="Times New Roman"/>
          <w:sz w:val="28"/>
          <w:szCs w:val="28"/>
          <w:lang w:val="uz-Cyrl-UZ"/>
        </w:rPr>
        <w:t>р&gt;0,05</w:t>
      </w:r>
      <w:r w:rsidRPr="00A11646">
        <w:rPr>
          <w:rFonts w:ascii="Times New Roman" w:eastAsia="Times New Roman" w:hAnsi="Times New Roman"/>
          <w:sz w:val="28"/>
          <w:szCs w:val="28"/>
        </w:rPr>
        <w:t>).</w:t>
      </w:r>
      <w:bookmarkEnd w:id="183"/>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lang w:val="uz-Cyrl-UZ"/>
        </w:rPr>
        <w:t xml:space="preserve">В “Б” подгруппе </w:t>
      </w:r>
      <w:r w:rsidRPr="00A11646">
        <w:rPr>
          <w:rFonts w:ascii="Times New Roman" w:hAnsi="Times New Roman"/>
          <w:sz w:val="28"/>
          <w:szCs w:val="28"/>
        </w:rPr>
        <w:t>после лечения уровень мочевины</w:t>
      </w:r>
      <w:r w:rsidRPr="00A11646">
        <w:rPr>
          <w:rFonts w:ascii="Times New Roman" w:eastAsia="Times New Roman" w:hAnsi="Times New Roman"/>
          <w:sz w:val="28"/>
          <w:szCs w:val="28"/>
        </w:rPr>
        <w:t xml:space="preserve"> в сравнении с результатами до лечения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κ снижался в 1,3 (78,8±2,7млмоль/л против</w:t>
      </w:r>
      <w:r w:rsidRPr="00A11646">
        <w:rPr>
          <w:rFonts w:ascii="Times New Roman" w:eastAsia="Times New Roman" w:hAnsi="Times New Roman"/>
          <w:sz w:val="28"/>
          <w:szCs w:val="28"/>
          <w:lang w:val="uz-Cyrl-UZ"/>
        </w:rPr>
        <w:t xml:space="preserve"> 98,6</w:t>
      </w:r>
      <w:r w:rsidRPr="00A11646">
        <w:rPr>
          <w:rFonts w:ascii="Times New Roman" w:eastAsia="Times New Roman" w:hAnsi="Times New Roman"/>
          <w:sz w:val="28"/>
          <w:szCs w:val="28"/>
        </w:rPr>
        <w:t xml:space="preserve">±4,8 ммоль/л;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 xml:space="preserve">0,01),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 в 1,86 (80,15</w:t>
      </w:r>
      <w:r w:rsidRPr="00A11646">
        <w:rPr>
          <w:rFonts w:ascii="Times New Roman" w:eastAsia="Times New Roman" w:hAnsi="Times New Roman"/>
          <w:sz w:val="28"/>
          <w:szCs w:val="28"/>
          <w:lang w:val="uz-Cyrl-UZ"/>
        </w:rPr>
        <w:t xml:space="preserve">±3,27 </w:t>
      </w:r>
      <w:r w:rsidRPr="00A11646">
        <w:rPr>
          <w:rFonts w:ascii="Times New Roman" w:eastAsia="Times New Roman" w:hAnsi="Times New Roman"/>
          <w:sz w:val="28"/>
          <w:szCs w:val="28"/>
        </w:rPr>
        <w:t xml:space="preserve">млмоль/л против </w:t>
      </w:r>
      <w:r w:rsidRPr="00A11646">
        <w:rPr>
          <w:rFonts w:ascii="Times New Roman" w:eastAsia="Times New Roman" w:hAnsi="Times New Roman"/>
          <w:sz w:val="28"/>
          <w:szCs w:val="28"/>
          <w:lang w:val="uz-Cyrl-UZ"/>
        </w:rPr>
        <w:t>148,7</w:t>
      </w:r>
      <w:r w:rsidRPr="00A11646">
        <w:rPr>
          <w:rFonts w:ascii="Times New Roman" w:eastAsia="Times New Roman" w:hAnsi="Times New Roman"/>
          <w:sz w:val="28"/>
          <w:szCs w:val="28"/>
        </w:rPr>
        <w:t xml:space="preserve">±35,0 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 при</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 в 1,34 (88,9±4,9млмоль/л против</w:t>
      </w:r>
      <w:r w:rsidRPr="00A11646">
        <w:rPr>
          <w:rFonts w:ascii="Times New Roman" w:hAnsi="Times New Roman"/>
          <w:sz w:val="28"/>
          <w:szCs w:val="28"/>
        </w:rPr>
        <w:t>119,0</w:t>
      </w:r>
      <w:r w:rsidRPr="00A11646">
        <w:rPr>
          <w:rFonts w:ascii="Times New Roman" w:eastAsia="Times New Roman" w:hAnsi="Times New Roman"/>
          <w:sz w:val="28"/>
          <w:szCs w:val="28"/>
        </w:rPr>
        <w:t xml:space="preserve">±18,6 млмоль; </w:t>
      </w:r>
      <w:r w:rsidRPr="00A11646">
        <w:rPr>
          <w:rFonts w:ascii="Times New Roman" w:eastAsia="Times New Roman" w:hAnsi="Times New Roman"/>
          <w:sz w:val="28"/>
          <w:szCs w:val="28"/>
          <w:lang w:val="uz-Cyrl-UZ"/>
        </w:rPr>
        <w:t>р&gt;0,05), при варианте</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 xml:space="preserve">λ в 1,54 (75,9±3,2млмоль/л против 116,6±12,7 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0,01</w:t>
      </w:r>
      <w:r w:rsidRPr="00A11646">
        <w:rPr>
          <w:rFonts w:ascii="Times New Roman" w:eastAsia="Times New Roman" w:hAnsi="Times New Roman"/>
          <w:sz w:val="28"/>
          <w:szCs w:val="28"/>
        </w:rPr>
        <w:t xml:space="preserve">), при редких вариантах в 2,2 (74,4±2,1 млмоль/л против 164,6±41,3 млмоль/л;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 раза.</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rPr>
        <w:t xml:space="preserve">Сравнительная оценка уровня снижения креатинина между подгруппами «А» и «Б» показала различие при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κ в 1,1</w:t>
      </w:r>
      <w:r w:rsidRPr="00A11646">
        <w:rPr>
          <w:rFonts w:ascii="Times New Roman" w:eastAsia="Times New Roman" w:hAnsi="Times New Roman"/>
          <w:sz w:val="28"/>
          <w:szCs w:val="28"/>
          <w:lang w:val="uz-Cyrl-UZ"/>
        </w:rPr>
        <w:t xml:space="preserve">,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 в 1,4</w:t>
      </w:r>
      <w:r w:rsidRPr="00A11646">
        <w:rPr>
          <w:rFonts w:ascii="Times New Roman" w:eastAsia="Times New Roman" w:hAnsi="Times New Roman"/>
          <w:sz w:val="28"/>
          <w:szCs w:val="28"/>
          <w:lang w:val="uz-Cyrl-UZ"/>
        </w:rPr>
        <w:t>, при варианте при</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 xml:space="preserve">κ и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 в 1,02 и 1,2, при редких вариантах в 1,4 раза (</w:t>
      </w:r>
      <w:r w:rsidRPr="00A11646">
        <w:rPr>
          <w:rFonts w:ascii="Times New Roman" w:hAnsi="Times New Roman"/>
          <w:sz w:val="28"/>
          <w:szCs w:val="28"/>
        </w:rPr>
        <w:t>рис. 4.2.2.4).</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r w:rsidRPr="00A11646">
        <w:rPr>
          <w:rFonts w:ascii="Times New Roman" w:eastAsia="Times New Roman" w:hAnsi="Times New Roman"/>
          <w:sz w:val="28"/>
          <w:szCs w:val="28"/>
        </w:rPr>
        <w:t xml:space="preserve">Несмотря на снижение креатинина у всех больных, все же в «А» подгруппе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λ,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 и редких вариантах его значения превышали норму в 1,2; 1,04 и 1,18 раза. Эти данные являются неблагоприятным критерием оценки эффективности лечения.</w:t>
      </w:r>
      <w:bookmarkEnd w:id="182"/>
      <w:r w:rsidRPr="00A11646">
        <w:rPr>
          <w:rFonts w:ascii="Times New Roman" w:hAnsi="Times New Roman"/>
          <w:sz w:val="28"/>
          <w:szCs w:val="28"/>
        </w:rPr>
        <w:lastRenderedPageBreak/>
        <w:tab/>
      </w:r>
      <w:r w:rsidRPr="00A11646">
        <w:rPr>
          <w:rFonts w:ascii="Times New Roman" w:eastAsia="Times New Roman" w:hAnsi="Times New Roman"/>
          <w:b/>
          <w:noProof/>
          <w:sz w:val="28"/>
          <w:szCs w:val="28"/>
        </w:rPr>
        <w:drawing>
          <wp:inline distT="0" distB="0" distL="0" distR="0">
            <wp:extent cx="5486400" cy="30861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90E3E" w:rsidRPr="00A11646" w:rsidRDefault="00190E3E" w:rsidP="00190E3E">
      <w:pPr>
        <w:spacing w:after="0" w:line="240" w:lineRule="auto"/>
        <w:jc w:val="both"/>
        <w:rPr>
          <w:rFonts w:ascii="Times New Roman" w:hAnsi="Times New Roman"/>
          <w:sz w:val="28"/>
          <w:szCs w:val="28"/>
        </w:rPr>
      </w:pPr>
    </w:p>
    <w:p w:rsidR="00190E3E" w:rsidRPr="00A11646" w:rsidRDefault="00190E3E" w:rsidP="00190E3E">
      <w:pPr>
        <w:spacing w:after="0" w:line="360" w:lineRule="auto"/>
        <w:ind w:firstLine="708"/>
        <w:jc w:val="both"/>
        <w:rPr>
          <w:rFonts w:ascii="Times New Roman" w:hAnsi="Times New Roman"/>
          <w:b/>
          <w:sz w:val="28"/>
          <w:szCs w:val="28"/>
        </w:rPr>
      </w:pPr>
      <w:r w:rsidRPr="00A11646">
        <w:rPr>
          <w:rFonts w:ascii="Times New Roman" w:hAnsi="Times New Roman"/>
          <w:b/>
          <w:sz w:val="28"/>
          <w:szCs w:val="28"/>
        </w:rPr>
        <w:t>Рис. 4.2.2.4. Динамика и сравнительный анализ результатов изучения уровня креатинина у больных ММ до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rPr>
      </w:pPr>
      <w:bookmarkStart w:id="184" w:name="_Hlk7277781"/>
      <w:r w:rsidRPr="00A11646">
        <w:rPr>
          <w:rFonts w:ascii="Times New Roman" w:hAnsi="Times New Roman"/>
          <w:sz w:val="28"/>
          <w:szCs w:val="28"/>
        </w:rPr>
        <w:t>Анализируя</w:t>
      </w:r>
      <w:r w:rsidR="00237C4B">
        <w:rPr>
          <w:rFonts w:ascii="Times New Roman" w:hAnsi="Times New Roman"/>
          <w:sz w:val="28"/>
          <w:szCs w:val="28"/>
          <w:lang w:val="uz-Cyrl-UZ"/>
        </w:rPr>
        <w:t xml:space="preserve"> </w:t>
      </w:r>
      <w:r w:rsidRPr="00A11646">
        <w:rPr>
          <w:rFonts w:ascii="Times New Roman" w:hAnsi="Times New Roman"/>
          <w:sz w:val="28"/>
          <w:szCs w:val="28"/>
        </w:rPr>
        <w:t>данные результатов изучения динамики мочевины и креатинина  до и после лечения в подгруппах «А» и «Б» можно заключить, что проведенное лечение у больных только с применением протокола высокодозной ПХТ не приводит к нормализации изученных показателей, тогда как проведение протокола высокодозной ПХТ с последующей аутоТГСК отличается высокой эффективност</w:t>
      </w:r>
      <w:r w:rsidR="00CD49C3">
        <w:rPr>
          <w:rFonts w:ascii="Times New Roman" w:hAnsi="Times New Roman"/>
          <w:sz w:val="28"/>
          <w:szCs w:val="28"/>
          <w:lang w:val="uz-Cyrl-UZ"/>
        </w:rPr>
        <w:t>ью</w:t>
      </w:r>
      <w:r w:rsidRPr="00A11646">
        <w:rPr>
          <w:rFonts w:ascii="Times New Roman" w:hAnsi="Times New Roman"/>
          <w:sz w:val="28"/>
          <w:szCs w:val="28"/>
        </w:rPr>
        <w:t>, что подтверждает снижение мочевины и креатинина до нормы.</w:t>
      </w:r>
    </w:p>
    <w:p w:rsidR="00190E3E" w:rsidRPr="00A11646" w:rsidRDefault="00190E3E" w:rsidP="00190E3E">
      <w:pPr>
        <w:autoSpaceDE w:val="0"/>
        <w:autoSpaceDN w:val="0"/>
        <w:adjustRightInd w:val="0"/>
        <w:spacing w:after="0" w:line="360" w:lineRule="auto"/>
        <w:ind w:firstLine="708"/>
        <w:jc w:val="both"/>
        <w:rPr>
          <w:rFonts w:ascii="Times New Roman" w:hAnsi="Times New Roman"/>
          <w:b/>
          <w:sz w:val="28"/>
          <w:szCs w:val="28"/>
        </w:rPr>
      </w:pPr>
      <w:r w:rsidRPr="00A11646">
        <w:rPr>
          <w:rFonts w:ascii="Times New Roman" w:hAnsi="Times New Roman"/>
          <w:sz w:val="28"/>
          <w:szCs w:val="28"/>
        </w:rPr>
        <w:t>Результаты биохимического анализа мочи у больных ММ в подгруппе «А» и «Б» также показали различия значений между подгруппами. В</w:t>
      </w:r>
      <w:r w:rsidR="00876211">
        <w:rPr>
          <w:rFonts w:ascii="Times New Roman" w:hAnsi="Times New Roman"/>
          <w:sz w:val="28"/>
          <w:szCs w:val="28"/>
          <w:lang w:val="uz-Cyrl-UZ"/>
        </w:rPr>
        <w:t xml:space="preserve"> </w:t>
      </w:r>
      <w:r w:rsidRPr="00A11646">
        <w:rPr>
          <w:rFonts w:ascii="Times New Roman" w:hAnsi="Times New Roman"/>
          <w:sz w:val="28"/>
          <w:szCs w:val="28"/>
        </w:rPr>
        <w:t>частности,</w:t>
      </w:r>
      <w:r w:rsidR="00876211">
        <w:rPr>
          <w:rFonts w:ascii="Times New Roman" w:hAnsi="Times New Roman"/>
          <w:sz w:val="28"/>
          <w:szCs w:val="28"/>
          <w:lang w:val="uz-Cyrl-UZ"/>
        </w:rPr>
        <w:t xml:space="preserve"> </w:t>
      </w:r>
      <w:r w:rsidRPr="00A11646">
        <w:rPr>
          <w:rFonts w:ascii="Times New Roman" w:hAnsi="Times New Roman"/>
          <w:sz w:val="28"/>
          <w:szCs w:val="28"/>
        </w:rPr>
        <w:t>в «А» подгруппе после лечения белок Бенс-Джонса выявлялся у 8 (9,2%) больных, тогда как в «Б» подгруппе после проведенной терапии белок Бенс-Джонса не выявлялся (рис.4.2.2.5.).</w:t>
      </w:r>
    </w:p>
    <w:bookmarkEnd w:id="184"/>
    <w:p w:rsidR="00190E3E" w:rsidRPr="00A11646" w:rsidRDefault="00190E3E" w:rsidP="00190E3E">
      <w:pPr>
        <w:autoSpaceDE w:val="0"/>
        <w:autoSpaceDN w:val="0"/>
        <w:adjustRightInd w:val="0"/>
        <w:spacing w:after="0" w:line="360" w:lineRule="auto"/>
        <w:ind w:firstLine="708"/>
        <w:jc w:val="right"/>
        <w:rPr>
          <w:rFonts w:ascii="Times New Roman" w:hAnsi="Times New Roman"/>
          <w:b/>
          <w:sz w:val="28"/>
          <w:szCs w:val="28"/>
        </w:rPr>
      </w:pPr>
    </w:p>
    <w:p w:rsidR="00190E3E" w:rsidRPr="00A11646" w:rsidRDefault="00190E3E" w:rsidP="00190E3E">
      <w:pPr>
        <w:autoSpaceDE w:val="0"/>
        <w:autoSpaceDN w:val="0"/>
        <w:adjustRightInd w:val="0"/>
        <w:spacing w:after="0" w:line="360" w:lineRule="auto"/>
        <w:ind w:firstLine="708"/>
        <w:jc w:val="right"/>
        <w:rPr>
          <w:rFonts w:ascii="Times New Roman" w:hAnsi="Times New Roman"/>
          <w:b/>
          <w:sz w:val="28"/>
          <w:szCs w:val="28"/>
        </w:rPr>
      </w:pPr>
      <w:r w:rsidRPr="00A11646">
        <w:rPr>
          <w:rFonts w:ascii="Times New Roman" w:eastAsia="Times New Roman" w:hAnsi="Times New Roman"/>
          <w:b/>
          <w:noProof/>
          <w:sz w:val="28"/>
          <w:szCs w:val="28"/>
        </w:rPr>
        <w:lastRenderedPageBreak/>
        <w:drawing>
          <wp:inline distT="0" distB="0" distL="0" distR="0">
            <wp:extent cx="5486400" cy="3200400"/>
            <wp:effectExtent l="19050" t="0" r="1905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0E3E" w:rsidRPr="00A11646" w:rsidRDefault="00190E3E" w:rsidP="00190E3E">
      <w:pPr>
        <w:ind w:firstLine="708"/>
        <w:jc w:val="both"/>
        <w:rPr>
          <w:rFonts w:ascii="Times New Roman" w:hAnsi="Times New Roman"/>
          <w:sz w:val="28"/>
          <w:szCs w:val="28"/>
          <w:lang w:val="uz-Cyrl-UZ"/>
        </w:rPr>
      </w:pPr>
      <w:r w:rsidRPr="00A11646">
        <w:rPr>
          <w:rFonts w:ascii="Times New Roman" w:eastAsia="Times New Roman" w:hAnsi="Times New Roman"/>
          <w:b/>
          <w:sz w:val="28"/>
          <w:szCs w:val="28"/>
        </w:rPr>
        <w:t>Рис. 4.2.2.5. Сравнительное распределение больных ММ с наличием в моче</w:t>
      </w:r>
      <w:r w:rsidR="00D535B5">
        <w:rPr>
          <w:rFonts w:ascii="Times New Roman" w:eastAsia="Times New Roman" w:hAnsi="Times New Roman"/>
          <w:b/>
          <w:sz w:val="28"/>
          <w:szCs w:val="28"/>
          <w:lang w:val="uz-Cyrl-UZ"/>
        </w:rPr>
        <w:t xml:space="preserve"> </w:t>
      </w:r>
      <w:r w:rsidRPr="00A11646">
        <w:rPr>
          <w:rFonts w:ascii="Times New Roman" w:eastAsia="Times New Roman" w:hAnsi="Times New Roman"/>
          <w:b/>
          <w:sz w:val="28"/>
          <w:szCs w:val="28"/>
        </w:rPr>
        <w:t>белка</w:t>
      </w:r>
      <w:r w:rsidR="00D535B5">
        <w:rPr>
          <w:rFonts w:ascii="Times New Roman" w:eastAsia="Times New Roman" w:hAnsi="Times New Roman"/>
          <w:b/>
          <w:sz w:val="28"/>
          <w:szCs w:val="28"/>
          <w:lang w:val="uz-Cyrl-UZ"/>
        </w:rPr>
        <w:t xml:space="preserve"> </w:t>
      </w:r>
      <w:r w:rsidRPr="00A11646">
        <w:rPr>
          <w:rFonts w:ascii="Times New Roman" w:eastAsia="Times New Roman" w:hAnsi="Times New Roman"/>
          <w:b/>
          <w:sz w:val="28"/>
          <w:szCs w:val="28"/>
        </w:rPr>
        <w:t>Бенс-Джонса до и после лечения</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rPr>
      </w:pPr>
      <w:bookmarkStart w:id="185" w:name="_Hlk7277797"/>
      <w:r w:rsidRPr="00A11646">
        <w:rPr>
          <w:rFonts w:ascii="Times New Roman" w:hAnsi="Times New Roman"/>
          <w:sz w:val="28"/>
          <w:szCs w:val="28"/>
        </w:rPr>
        <w:t>Наряду с изучением наличия белка Бенс-Джонса, мы определяли у всех больных после лечения наличие протеинурии, ч</w:t>
      </w:r>
      <w:r w:rsidR="00B05A09">
        <w:rPr>
          <w:rFonts w:ascii="Times New Roman" w:hAnsi="Times New Roman"/>
          <w:sz w:val="28"/>
          <w:szCs w:val="28"/>
        </w:rPr>
        <w:t>то позволило выявить ее только</w:t>
      </w:r>
      <w:r w:rsidR="00B05A09">
        <w:rPr>
          <w:rFonts w:ascii="Times New Roman" w:hAnsi="Times New Roman"/>
          <w:sz w:val="28"/>
          <w:szCs w:val="28"/>
          <w:lang w:val="uz-Cyrl-UZ"/>
        </w:rPr>
        <w:t xml:space="preserve"> </w:t>
      </w:r>
      <w:r w:rsidRPr="00A11646">
        <w:rPr>
          <w:rFonts w:ascii="Times New Roman" w:hAnsi="Times New Roman"/>
          <w:sz w:val="28"/>
          <w:szCs w:val="28"/>
        </w:rPr>
        <w:t xml:space="preserve">среди больных «А» подгруппы: </w:t>
      </w:r>
      <w:bookmarkStart w:id="186" w:name="_Hlk7277828"/>
      <w:bookmarkEnd w:id="185"/>
      <w:r w:rsidRPr="00A11646">
        <w:rPr>
          <w:rFonts w:ascii="Times New Roman" w:eastAsia="Times New Roman" w:hAnsi="Times New Roman"/>
          <w:sz w:val="28"/>
          <w:szCs w:val="28"/>
          <w:lang w:val="uz-Cyrl-UZ"/>
        </w:rPr>
        <w:t>п</w:t>
      </w:r>
      <w:r w:rsidRPr="00A11646">
        <w:rPr>
          <w:rFonts w:ascii="Times New Roman" w:eastAsia="Times New Roman" w:hAnsi="Times New Roman"/>
          <w:sz w:val="28"/>
          <w:szCs w:val="28"/>
        </w:rPr>
        <w:t xml:space="preserve">ри иммунохимическом варианте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 xml:space="preserve">κ уровень белка составил </w:t>
      </w:r>
      <w:bookmarkStart w:id="187" w:name="_Hlk6355954"/>
      <w:r w:rsidRPr="00A11646">
        <w:rPr>
          <w:rFonts w:ascii="Times New Roman" w:eastAsia="Times New Roman" w:hAnsi="Times New Roman"/>
          <w:sz w:val="28"/>
          <w:szCs w:val="28"/>
        </w:rPr>
        <w:t>0,13±0,04 г/л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0,001)</w:t>
      </w:r>
      <w:bookmarkEnd w:id="187"/>
      <w:r w:rsidRPr="00A11646">
        <w:rPr>
          <w:rFonts w:ascii="Times New Roman" w:eastAsia="Times New Roman" w:hAnsi="Times New Roman"/>
          <w:sz w:val="28"/>
          <w:szCs w:val="28"/>
          <w:lang w:val="uz-Cyrl-UZ"/>
        </w:rPr>
        <w:t xml:space="preserve">,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 0,51±0,28 г/л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0,05), при</w:t>
      </w:r>
      <w:bookmarkStart w:id="188" w:name="_Hlk6356190"/>
      <w:r w:rsidR="008C5A9B">
        <w:rPr>
          <w:rFonts w:ascii="Times New Roman" w:eastAsia="Times New Roman" w:hAnsi="Times New Roman"/>
          <w:sz w:val="28"/>
          <w:szCs w:val="28"/>
          <w:lang w:val="uz-Cyrl-UZ"/>
        </w:rPr>
        <w:t xml:space="preserve">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w:t>
      </w:r>
      <w:r w:rsidR="008C5A9B">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0,92±0,60 г/л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&gt;</w:t>
      </w:r>
      <w:r w:rsidRPr="00A11646">
        <w:rPr>
          <w:rFonts w:ascii="Times New Roman" w:eastAsia="Times New Roman" w:hAnsi="Times New Roman"/>
          <w:sz w:val="28"/>
          <w:szCs w:val="28"/>
          <w:lang w:val="uz-Cyrl-UZ"/>
        </w:rPr>
        <w:t>0,05)</w:t>
      </w:r>
      <w:bookmarkEnd w:id="188"/>
      <w:r w:rsidRPr="00A11646">
        <w:rPr>
          <w:rFonts w:ascii="Times New Roman" w:eastAsia="Times New Roman" w:hAnsi="Times New Roman"/>
          <w:sz w:val="28"/>
          <w:szCs w:val="28"/>
          <w:lang w:val="uz-Cyrl-UZ"/>
        </w:rPr>
        <w:t>, при варианте</w:t>
      </w:r>
      <w:r w:rsidR="00B05A09">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 0,39±0,12 г/л (</w:t>
      </w:r>
      <w:r w:rsidRPr="00A11646">
        <w:rPr>
          <w:rFonts w:ascii="Times New Roman" w:eastAsia="Times New Roman" w:hAnsi="Times New Roman"/>
          <w:sz w:val="28"/>
          <w:szCs w:val="28"/>
          <w:lang w:val="uz-Cyrl-UZ"/>
        </w:rPr>
        <w:t xml:space="preserve">р&gt;0,05) и </w:t>
      </w:r>
      <w:r w:rsidRPr="00A11646">
        <w:rPr>
          <w:rFonts w:ascii="Times New Roman" w:eastAsia="Times New Roman" w:hAnsi="Times New Roman"/>
          <w:sz w:val="28"/>
          <w:szCs w:val="28"/>
        </w:rPr>
        <w:t>при редких вариантах 0,73±0,28 г/л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w:t>
      </w:r>
      <w:r w:rsidRPr="00A11646">
        <w:rPr>
          <w:rFonts w:ascii="Times New Roman" w:eastAsia="Times New Roman" w:hAnsi="Times New Roman"/>
          <w:sz w:val="28"/>
          <w:szCs w:val="28"/>
        </w:rPr>
        <w:t>.</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rPr>
        <w:t xml:space="preserve">В подгруппе «Б» протеинурия выявлена только при иммунохимических варианте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κ0,009±0,006 г/л (</w:t>
      </w:r>
      <w:r w:rsidRPr="00A11646">
        <w:rPr>
          <w:rFonts w:ascii="Times New Roman" w:eastAsia="Times New Roman" w:hAnsi="Times New Roman"/>
          <w:sz w:val="28"/>
          <w:szCs w:val="28"/>
          <w:lang w:val="uz-Cyrl-UZ"/>
        </w:rPr>
        <w:t>р&lt;0,05) и редких формах</w:t>
      </w:r>
      <w:r w:rsidRPr="00A11646">
        <w:rPr>
          <w:rFonts w:ascii="Times New Roman" w:eastAsia="Times New Roman" w:hAnsi="Times New Roman"/>
          <w:sz w:val="28"/>
          <w:szCs w:val="28"/>
        </w:rPr>
        <w:t>0,165±0,05 г/л (</w:t>
      </w:r>
      <w:r w:rsidRPr="00A11646">
        <w:rPr>
          <w:rFonts w:ascii="Times New Roman" w:eastAsia="Times New Roman" w:hAnsi="Times New Roman"/>
          <w:sz w:val="28"/>
          <w:szCs w:val="28"/>
          <w:lang w:val="uz-Cyrl-UZ"/>
        </w:rPr>
        <w:t>р</w:t>
      </w:r>
      <w:r w:rsidRPr="00A11646">
        <w:rPr>
          <w:rFonts w:ascii="Times New Roman" w:eastAsia="Times New Roman" w:hAnsi="Times New Roman"/>
          <w:sz w:val="28"/>
          <w:szCs w:val="28"/>
        </w:rPr>
        <w:t>&lt;</w:t>
      </w:r>
      <w:r w:rsidRPr="00A11646">
        <w:rPr>
          <w:rFonts w:ascii="Times New Roman" w:eastAsia="Times New Roman" w:hAnsi="Times New Roman"/>
          <w:sz w:val="28"/>
          <w:szCs w:val="28"/>
          <w:lang w:val="uz-Cyrl-UZ"/>
        </w:rPr>
        <w:t>0,05).</w:t>
      </w:r>
    </w:p>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hAnsi="Times New Roman"/>
          <w:sz w:val="28"/>
          <w:szCs w:val="28"/>
          <w:lang w:val="uz-Cyrl-UZ"/>
        </w:rPr>
        <w:t xml:space="preserve">Таким образом, анализ результатов биохимических исследований крови и мочи после лечения в обеих подгруппах больных ММ, показал, что наибольшее снижение уровня общего белка, микроглобулинов, мочевины и  креатинина в крови, уровня белка в мочеконстатировано у пациентов “Б” подгруппы с применением аутоТГСК. </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spacing w:after="160" w:line="360" w:lineRule="auto"/>
        <w:ind w:firstLine="708"/>
        <w:jc w:val="center"/>
        <w:rPr>
          <w:rFonts w:ascii="Times New Roman" w:hAnsi="Times New Roman"/>
          <w:b/>
          <w:sz w:val="28"/>
          <w:szCs w:val="28"/>
          <w:lang w:val="uz-Cyrl-UZ"/>
        </w:rPr>
      </w:pPr>
      <w:bookmarkStart w:id="189" w:name="_Hlk8246460"/>
    </w:p>
    <w:p w:rsidR="00190E3E" w:rsidRPr="00A11646" w:rsidRDefault="00190E3E" w:rsidP="00190E3E">
      <w:pPr>
        <w:spacing w:after="160" w:line="360" w:lineRule="auto"/>
        <w:ind w:firstLine="708"/>
        <w:jc w:val="center"/>
        <w:rPr>
          <w:rFonts w:ascii="Times New Roman" w:hAnsi="Times New Roman"/>
          <w:b/>
          <w:sz w:val="28"/>
          <w:szCs w:val="28"/>
          <w:lang w:val="uz-Cyrl-UZ"/>
        </w:rPr>
      </w:pPr>
      <w:r w:rsidRPr="00A11646">
        <w:rPr>
          <w:rFonts w:ascii="Times New Roman" w:hAnsi="Times New Roman"/>
          <w:b/>
          <w:sz w:val="28"/>
          <w:szCs w:val="28"/>
          <w:lang w:val="uz-Cyrl-UZ"/>
        </w:rPr>
        <w:lastRenderedPageBreak/>
        <w:t>§ 4.3. Изучение корреляционных связей между изученными показателями у больных ММ после лечения</w:t>
      </w:r>
    </w:p>
    <w:bookmarkEnd w:id="189"/>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Изучая наличие корреляционной зависимости после лечения </w:t>
      </w:r>
      <w:bookmarkStart w:id="190" w:name="_Hlk7282510"/>
      <w:r w:rsidRPr="00A11646">
        <w:rPr>
          <w:rFonts w:ascii="Times New Roman" w:eastAsia="Times New Roman" w:hAnsi="Times New Roman"/>
          <w:sz w:val="28"/>
          <w:szCs w:val="28"/>
          <w:lang w:val="uz-Cyrl-UZ"/>
        </w:rPr>
        <w:t>в подгруппе “А” мы выявили</w:t>
      </w:r>
      <w:r w:rsidR="00C23430" w:rsidRPr="00C23430">
        <w:rPr>
          <w:rFonts w:ascii="Times New Roman" w:eastAsia="Times New Roman" w:hAnsi="Times New Roman"/>
          <w:sz w:val="28"/>
          <w:szCs w:val="28"/>
        </w:rPr>
        <w:t xml:space="preserve"> </w:t>
      </w:r>
      <w:r w:rsidRPr="00A11646">
        <w:rPr>
          <w:rFonts w:ascii="Times New Roman" w:eastAsia="Times New Roman" w:hAnsi="Times New Roman"/>
          <w:sz w:val="28"/>
          <w:szCs w:val="28"/>
          <w:lang w:val="uz-Cyrl-UZ"/>
        </w:rPr>
        <w:t xml:space="preserve">ее наличие: при варианте </w:t>
      </w:r>
      <w:r w:rsidRPr="00A11646">
        <w:rPr>
          <w:rFonts w:ascii="Times New Roman" w:eastAsia="Times New Roman" w:hAnsi="Times New Roman"/>
          <w:sz w:val="28"/>
          <w:szCs w:val="28"/>
          <w:lang w:val="en-US"/>
        </w:rPr>
        <w:t>IgGκ</w:t>
      </w:r>
      <w:r w:rsidR="00876211">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uz-Cyrl-UZ"/>
        </w:rPr>
        <w:t>между снижением в крови уровня общего белка с  креатинином</w:t>
      </w:r>
      <w:bookmarkStart w:id="191" w:name="_Hlk6756093"/>
      <w:r w:rsidR="00C23430" w:rsidRPr="00C23430">
        <w:rPr>
          <w:rFonts w:ascii="Times New Roman" w:eastAsia="Times New Roman" w:hAnsi="Times New Roman"/>
          <w:sz w:val="28"/>
          <w:szCs w:val="28"/>
        </w:rPr>
        <w:t xml:space="preserve"> </w:t>
      </w:r>
      <w:r w:rsidRPr="00A11646">
        <w:rPr>
          <w:rFonts w:ascii="Times New Roman" w:eastAsia="Times New Roman" w:hAnsi="Times New Roman"/>
          <w:sz w:val="28"/>
          <w:szCs w:val="28"/>
          <w:lang w:val="uz-Cyrl-UZ"/>
        </w:rPr>
        <w:t>(r=0,17)</w:t>
      </w:r>
      <w:bookmarkEnd w:id="191"/>
      <w:r w:rsidRPr="00A11646">
        <w:rPr>
          <w:rFonts w:ascii="Times New Roman" w:eastAsia="Times New Roman" w:hAnsi="Times New Roman"/>
          <w:sz w:val="28"/>
          <w:szCs w:val="28"/>
          <w:lang w:val="uz-Cyrl-UZ"/>
        </w:rPr>
        <w:t xml:space="preserve">, в периферической крови с уровнем снижения СОЭ (r=0,16),  в моче с уровнем снижения содержания белка (r=-0,21). Определено наличие корреляционной связи между снижением уровня γ – микроглобулина со снижением в крови уровня мочевины (r=0,36) и креатинина (r=0,13), в периферической крови со повышением количества тромбоцитов (r=-0,17), со снижением количества белка в моче  (r=0,21), между снижением уровня β2 – микроглобулина со снижением в крови уровня мочевины (r=-0,15), в периферической крови с повышением уровня гемоглобина (r=-0,37), эритроцитов (r=-0,34), тромбоцитов (r=-0,15), снижением уровня СОЭ (r=-0,41), в костном мозге со снижением количества плазматических клеток (r=0,35), в моче со снижением количества белка (r=0,21). </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 Выявлена связь при варианте </w:t>
      </w:r>
      <w:r w:rsidRPr="00A11646">
        <w:rPr>
          <w:rFonts w:ascii="Times New Roman" w:eastAsia="Times New Roman" w:hAnsi="Times New Roman"/>
          <w:sz w:val="28"/>
          <w:szCs w:val="28"/>
          <w:lang w:val="en-US"/>
        </w:rPr>
        <w:t>IgGλ</w:t>
      </w:r>
      <w:r w:rsidR="00C23430" w:rsidRPr="00132664">
        <w:rPr>
          <w:rFonts w:ascii="Times New Roman" w:eastAsia="Times New Roman" w:hAnsi="Times New Roman"/>
          <w:sz w:val="28"/>
          <w:szCs w:val="28"/>
        </w:rPr>
        <w:t xml:space="preserve"> </w:t>
      </w:r>
      <w:r w:rsidRPr="00A11646">
        <w:rPr>
          <w:rFonts w:ascii="Times New Roman" w:eastAsia="Times New Roman" w:hAnsi="Times New Roman"/>
          <w:sz w:val="28"/>
          <w:szCs w:val="28"/>
          <w:lang w:val="uz-Cyrl-UZ"/>
        </w:rPr>
        <w:t>между снижением в крови количества общего белка с уровнем мочевины (r=0,10) и креатинина (r=-0,51), в периферической крови с уровнем повышения гемоглобина (r=-0,17), эритроцитов (r=-0,26) и снижением СОЭ (r=0,21), со снижением количества плазматических клеток в костном мозге (r=-0,11), в моче со снижениемколичества белка (r=-0,19). Наряду с этим</w:t>
      </w:r>
      <w:r w:rsidR="004D4900" w:rsidRPr="00A86DF1">
        <w:rPr>
          <w:rFonts w:ascii="Times New Roman" w:eastAsia="Times New Roman" w:hAnsi="Times New Roman"/>
          <w:sz w:val="28"/>
          <w:szCs w:val="28"/>
        </w:rPr>
        <w:t xml:space="preserve"> </w:t>
      </w:r>
      <w:r w:rsidRPr="00A11646">
        <w:rPr>
          <w:rFonts w:ascii="Times New Roman" w:eastAsia="Times New Roman" w:hAnsi="Times New Roman"/>
          <w:sz w:val="28"/>
          <w:szCs w:val="28"/>
          <w:lang w:val="uz-Cyrl-UZ"/>
        </w:rPr>
        <w:t xml:space="preserve">определено наличие корреляционной связи между снижением в крови уровня γ – микроглобулина со снижением уровня  мочевины (r=0,49) и креатинина (r=0,60), в периферической крови с повышением гемоглобина (r=-0,36), эритроцитов  (r=-0,19), тромбоцитов (r=0,22), в костном мозге со снижением количества плазматических клеток (r=-0,31) и белка в моче  (r=0,48). Отмечена связь между снижением уровня β2 – микроглобулина со снижением креатинина (r=0,12) повышением уровня эритроцитов (r=0,10), </w:t>
      </w:r>
      <w:r w:rsidRPr="00A11646">
        <w:rPr>
          <w:rFonts w:ascii="Times New Roman" w:eastAsia="Times New Roman" w:hAnsi="Times New Roman"/>
          <w:sz w:val="28"/>
          <w:szCs w:val="28"/>
          <w:lang w:val="uz-Cyrl-UZ"/>
        </w:rPr>
        <w:lastRenderedPageBreak/>
        <w:t>тромбоцитов (r=0,11), снижением уровня СОЭ (r=-0,12), в костном мозге со снижением плазматических клеток (r=0,19) и с уровнем белка в моче (r=-0,24).</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При варианте </w:t>
      </w:r>
      <w:r w:rsidRPr="00A11646">
        <w:rPr>
          <w:rFonts w:ascii="Times New Roman" w:eastAsia="Times New Roman" w:hAnsi="Times New Roman"/>
          <w:sz w:val="28"/>
          <w:szCs w:val="28"/>
          <w:lang w:val="en-US"/>
        </w:rPr>
        <w:t>Ig</w:t>
      </w:r>
      <w:r w:rsidRPr="00A11646">
        <w:rPr>
          <w:rFonts w:ascii="Times New Roman" w:eastAsia="Times New Roman" w:hAnsi="Times New Roman"/>
          <w:sz w:val="28"/>
          <w:szCs w:val="28"/>
        </w:rPr>
        <w:t>А</w:t>
      </w:r>
      <w:r w:rsidRPr="00A11646">
        <w:rPr>
          <w:rFonts w:ascii="Times New Roman" w:eastAsia="Times New Roman" w:hAnsi="Times New Roman"/>
          <w:sz w:val="28"/>
          <w:szCs w:val="28"/>
          <w:lang w:val="en-US"/>
        </w:rPr>
        <w:t>κ</w:t>
      </w:r>
      <w:r w:rsidR="008C5A9B">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 xml:space="preserve">выявлена сильная корреляционная связь </w:t>
      </w:r>
      <w:r w:rsidRPr="00A11646">
        <w:rPr>
          <w:rFonts w:ascii="Times New Roman" w:eastAsia="Times New Roman" w:hAnsi="Times New Roman"/>
          <w:sz w:val="28"/>
          <w:szCs w:val="28"/>
          <w:lang w:val="uz-Cyrl-UZ"/>
        </w:rPr>
        <w:t>между снижением в крови уровня общего белка с</w:t>
      </w:r>
      <w:r w:rsidR="003A2121">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uz-Cyrl-UZ"/>
        </w:rPr>
        <w:t>мочевиной</w:t>
      </w:r>
      <w:bookmarkStart w:id="192" w:name="_Hlk6757377"/>
      <w:r w:rsidR="003A2121">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uz-Cyrl-UZ"/>
        </w:rPr>
        <w:t>(r=0,90)</w:t>
      </w:r>
      <w:bookmarkEnd w:id="192"/>
      <w:r w:rsidRPr="00A11646">
        <w:rPr>
          <w:rFonts w:ascii="Times New Roman" w:eastAsia="Times New Roman" w:hAnsi="Times New Roman"/>
          <w:sz w:val="28"/>
          <w:szCs w:val="28"/>
          <w:lang w:val="uz-Cyrl-UZ"/>
        </w:rPr>
        <w:t xml:space="preserve"> и креатинином (r=0,79), в периферической крови отрицательная связь с уровнем повышения гемоглобина</w:t>
      </w:r>
      <w:r w:rsidR="003A2121">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uz-Cyrl-UZ"/>
        </w:rPr>
        <w:t>(r=-0,57), эритроцитов (r=-0,24) и положительная с повышением количества тромбоцитов (r=0,27), со снижением</w:t>
      </w:r>
      <w:r w:rsidR="00A86DF1" w:rsidRPr="00A86DF1">
        <w:rPr>
          <w:rFonts w:ascii="Times New Roman" w:eastAsia="Times New Roman" w:hAnsi="Times New Roman"/>
          <w:sz w:val="28"/>
          <w:szCs w:val="28"/>
        </w:rPr>
        <w:t xml:space="preserve"> </w:t>
      </w:r>
      <w:r w:rsidRPr="00A11646">
        <w:rPr>
          <w:rFonts w:ascii="Times New Roman" w:eastAsia="Times New Roman" w:hAnsi="Times New Roman"/>
          <w:sz w:val="28"/>
          <w:szCs w:val="28"/>
          <w:lang w:val="uz-Cyrl-UZ"/>
        </w:rPr>
        <w:t xml:space="preserve">СОЭ (r=0,89), в костном мозге со снижением количества плазматических клеток (r=0,67), в моче с уровнем снижения содержания белка (r=0,76) и белка Бенс-Джонса (r=0,78). Между снижением уровня γ – микроглобулина выявлена связь со снижением в крови уровня мочевины (r=0,43), в периферической крови с повышением количества гемоглобина (r=-0,96), эритроцитов (r=-0,85), тромбоцитов (r=0,24), со снижением СОЭ (r=0,38), в косном мозге со снижением количества плазматических клеток (r=0,37), со снижением количества белка в моче  (r=0,43) и белка Бенс-Джонса (r=0,27); между снижением уровня β2 – микроглобулина со снижением в крови уровня мочевины (r=-0,55), в периферической крови с повышением уровня эритроцитов (r=-0,12), тромбоцитов (r=-0,95), снижением уровня СОЭ (r=-0,65), в костном мозге со снижением количества плазматических клеток (r=-0,64), в моче со снижением количества белка (r=-0,28) и белка Бенс-Джонса (r=-0,33). </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bookmarkStart w:id="193" w:name="_Hlk6758639"/>
      <w:r w:rsidRPr="00A11646">
        <w:rPr>
          <w:rFonts w:ascii="Times New Roman" w:eastAsia="Times New Roman" w:hAnsi="Times New Roman"/>
          <w:sz w:val="28"/>
          <w:szCs w:val="28"/>
          <w:lang w:val="uz-Cyrl-UZ"/>
        </w:rPr>
        <w:t xml:space="preserve">Выявлена связь при варианте </w:t>
      </w:r>
      <w:r w:rsidRPr="00A11646">
        <w:rPr>
          <w:rFonts w:ascii="Times New Roman" w:eastAsia="Times New Roman" w:hAnsi="Times New Roman"/>
          <w:sz w:val="28"/>
          <w:szCs w:val="28"/>
          <w:lang w:val="en-US"/>
        </w:rPr>
        <w:t>Ig</w:t>
      </w:r>
      <w:r w:rsidRPr="00A11646">
        <w:rPr>
          <w:rFonts w:ascii="Times New Roman" w:eastAsia="Times New Roman" w:hAnsi="Times New Roman"/>
          <w:sz w:val="28"/>
          <w:szCs w:val="28"/>
        </w:rPr>
        <w:t>А</w:t>
      </w:r>
      <w:r w:rsidRPr="00A11646">
        <w:rPr>
          <w:rFonts w:ascii="Times New Roman" w:eastAsia="Times New Roman" w:hAnsi="Times New Roman"/>
          <w:sz w:val="28"/>
          <w:szCs w:val="28"/>
          <w:lang w:val="en-US"/>
        </w:rPr>
        <w:t>λ</w:t>
      </w:r>
      <w:r w:rsidR="00A86DF1" w:rsidRPr="00925D2B">
        <w:rPr>
          <w:rFonts w:ascii="Times New Roman" w:eastAsia="Times New Roman" w:hAnsi="Times New Roman"/>
          <w:sz w:val="28"/>
          <w:szCs w:val="28"/>
        </w:rPr>
        <w:t xml:space="preserve"> </w:t>
      </w:r>
      <w:r w:rsidRPr="00A11646">
        <w:rPr>
          <w:rFonts w:ascii="Times New Roman" w:eastAsia="Times New Roman" w:hAnsi="Times New Roman"/>
          <w:sz w:val="28"/>
          <w:szCs w:val="28"/>
          <w:lang w:val="uz-Cyrl-UZ"/>
        </w:rPr>
        <w:t xml:space="preserve">между снижением в крови количества общего белка с уровнем мочевины (r=0,27) и креатинина (r=0,27), в периферической крови с уровнем повышения гемоглобина (r=-0,32), эритроцитов (r=-0,42), тромбоцитов (r=-0,65) и снижением СОЭ (r=0,83), со снижением количества плазматических клеток в костном мозге (r=0,15), в моче со снижениемколичества белка (r=-0,32).Также определено наличие корреляционной связи между снижением в крови уровня γ – микроглобулина со снижением уровня  мочевины (r=0,21), в </w:t>
      </w:r>
      <w:r w:rsidRPr="00A11646">
        <w:rPr>
          <w:rFonts w:ascii="Times New Roman" w:eastAsia="Times New Roman" w:hAnsi="Times New Roman"/>
          <w:sz w:val="28"/>
          <w:szCs w:val="28"/>
          <w:lang w:val="uz-Cyrl-UZ"/>
        </w:rPr>
        <w:lastRenderedPageBreak/>
        <w:t>периферической крови с повышением гемоглобина (r=0,41), эритроцитов  (r=0,27), тромбоцитов (r=0,70), со снижением СОЭ (r=-0,14), в костном мозге со снижением количества плазматических клеток (r=-0,32), со снижениембелка в моче  (r=-0,33) и белка Бенс-Джонса (r=-0,17). Выявлено наличие связи между снижением уровня β2 – микроглобулина со снижением мочевины (r=0,25) и креатинина (r=0,22), с повышением уровня гемоглобина (r=-0,49), эритроцитов (r=-0,43), тромбоцитов (r=-0,33), снижением уровня СОЭ (r=0,38), со снижением уровнем белка в моче (r=0,10) и белка Бенс-Джонса (r=0,11).</w:t>
      </w:r>
    </w:p>
    <w:bookmarkEnd w:id="193"/>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При редких иммунохимических вариантах ММ</w:t>
      </w:r>
      <w:r w:rsidR="00876211">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lang w:val="uz-Cyrl-UZ"/>
        </w:rPr>
        <w:t xml:space="preserve">выявлена корреляционная связь между снижением в крови количества общего белка с уровнем мочевины (r=-0,28) и креатинина (r=-0,26), в периферической крови с уровнем повышения гемоглобина (r=0,25), эритроцитов (r=0,28), тромбоцитов (r=0,12), со снижением количества плазматических клеток в костном мозге (r=-0,19), в моче со снижениемколичества белка </w:t>
      </w:r>
      <w:bookmarkStart w:id="194" w:name="_Hlk6759220"/>
      <w:r w:rsidRPr="00A11646">
        <w:rPr>
          <w:rFonts w:ascii="Times New Roman" w:eastAsia="Times New Roman" w:hAnsi="Times New Roman"/>
          <w:sz w:val="28"/>
          <w:szCs w:val="28"/>
          <w:lang w:val="uz-Cyrl-UZ"/>
        </w:rPr>
        <w:t>(r=-0,12)</w:t>
      </w:r>
      <w:bookmarkEnd w:id="194"/>
      <w:r w:rsidRPr="00A11646">
        <w:rPr>
          <w:rFonts w:ascii="Times New Roman" w:eastAsia="Times New Roman" w:hAnsi="Times New Roman"/>
          <w:sz w:val="28"/>
          <w:szCs w:val="28"/>
          <w:lang w:val="uz-Cyrl-UZ"/>
        </w:rPr>
        <w:t xml:space="preserve"> и белка Бенс-Джонса (r=-0,24). Отмечено наличие корреляционной связи между снижением в крови уровня γ – микроглобулина со снижением уровня  мочевины (r=-0,42), в периферической крови с повышением гемоглобина (r=0,29), эритроцитов  (r=0,17), тромбоцитов (r=0,61), со снижением СОЭ (r=-0,17), в костном мозге со снижением количества плазматических клеток (r=0,45), со снижением белка в моче  (r=-0,21) и белка Бенс-Джонса (r=0,47). Выявлено наличие связи между снижением уровня β2 – микроглобулина с повышением уровня гемоглобина (r=-0,31), эритроцитов (r=-0,26), тромбоцитов (r=-0,49), со снижением   белка Бенс-Джонса (r=0,40).</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Изучая наличие корреляционной зависимости в подгруппе “Б” нами получены достоверные данные о ее наличии между снижением в крови количества общего белка с уровнем мочевины (r=0,37) и креатинина (r=0,38), в периферической крови с уровнем повышения гемоглобина (r=-0,5), эритроцитов (r=-0,43), тромбоцитов (r=-0,17) и снижением СОЭ </w:t>
      </w:r>
      <w:r w:rsidRPr="00A11646">
        <w:rPr>
          <w:rFonts w:ascii="Times New Roman" w:eastAsia="Times New Roman" w:hAnsi="Times New Roman"/>
          <w:sz w:val="28"/>
          <w:szCs w:val="28"/>
          <w:lang w:val="uz-Cyrl-UZ"/>
        </w:rPr>
        <w:lastRenderedPageBreak/>
        <w:t>(r=0,21),  в моче с уровнем снижения содержания белка (r=-0,24). Определено наличие корреляционной связи между снижением уровня γ – микроглобулина со снижением уровня мочевины (r=0,11) в сыворотке крови, с повышением количества эритроцитов  (r=-0,12), тромбоцитов (r=-0,13) и со снижением СОЭ  белка (r=0,3) в периферической крови, уровня белка  в моче  (r=-0,34), между снижением уровня β2 – микроглобулина со снижением в сыворотке крови мочевины (r=-0,11) и креатинина (r=-0,16),  в периферической крови с повышением уровня гемоглобина (r=-0,21), тромбоцитов (r=0,23), снижением уровня СОЭ (r=0,27).</w:t>
      </w:r>
    </w:p>
    <w:bookmarkEnd w:id="190"/>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 xml:space="preserve">Таким образом, </w:t>
      </w:r>
      <w:r w:rsidRPr="00A11646">
        <w:rPr>
          <w:rFonts w:ascii="Times New Roman" w:hAnsi="Times New Roman"/>
          <w:sz w:val="28"/>
          <w:szCs w:val="28"/>
          <w:lang w:val="uz-Cyrl-UZ"/>
        </w:rPr>
        <w:t>были получены данные о корреляционной зависимости между пр</w:t>
      </w:r>
      <w:r w:rsidR="009D1100">
        <w:rPr>
          <w:rFonts w:ascii="Times New Roman" w:hAnsi="Times New Roman"/>
          <w:sz w:val="28"/>
          <w:szCs w:val="28"/>
          <w:lang w:val="uz-Cyrl-UZ"/>
        </w:rPr>
        <w:t>о</w:t>
      </w:r>
      <w:r w:rsidRPr="00A11646">
        <w:rPr>
          <w:rFonts w:ascii="Times New Roman" w:hAnsi="Times New Roman"/>
          <w:sz w:val="28"/>
          <w:szCs w:val="28"/>
          <w:lang w:val="uz-Cyrl-UZ"/>
        </w:rPr>
        <w:t>гностическими факторами риска: в сыворотке крови между количеством общего белка и микроглобулинов с</w:t>
      </w:r>
      <w:r w:rsidR="009D1100">
        <w:rPr>
          <w:rFonts w:ascii="Times New Roman" w:hAnsi="Times New Roman"/>
          <w:sz w:val="28"/>
          <w:szCs w:val="28"/>
          <w:lang w:val="uz-Cyrl-UZ"/>
        </w:rPr>
        <w:t xml:space="preserve"> </w:t>
      </w:r>
      <w:r w:rsidRPr="00A11646">
        <w:rPr>
          <w:rFonts w:ascii="Times New Roman" w:hAnsi="Times New Roman"/>
          <w:sz w:val="28"/>
          <w:szCs w:val="28"/>
          <w:lang w:val="uz-Cyrl-UZ"/>
        </w:rPr>
        <w:t>уровнем мочевины, креатинина, в периферической крови с уровнем гемоглобина, эритроцитов, тромбоцитов, СОЭ, в костном мозге с количеством плазматических клеток, в моче с количеством общего белка и белка Бенс-Джонса.</w:t>
      </w: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spacing w:after="160" w:line="360" w:lineRule="auto"/>
        <w:ind w:firstLine="708"/>
        <w:jc w:val="center"/>
        <w:rPr>
          <w:rFonts w:ascii="Times New Roman" w:eastAsia="Times New Roman" w:hAnsi="Times New Roman"/>
          <w:b/>
          <w:sz w:val="28"/>
          <w:szCs w:val="28"/>
          <w:lang w:val="uz-Cyrl-UZ"/>
        </w:rPr>
      </w:pPr>
      <w:bookmarkStart w:id="195" w:name="_Hlk8246491"/>
      <w:r w:rsidRPr="00A11646">
        <w:rPr>
          <w:rFonts w:ascii="Times New Roman" w:hAnsi="Times New Roman"/>
          <w:b/>
          <w:sz w:val="28"/>
          <w:szCs w:val="28"/>
          <w:lang w:val="uz-Cyrl-UZ"/>
        </w:rPr>
        <w:t>§</w:t>
      </w:r>
      <w:bookmarkStart w:id="196" w:name="_Hlk8246543"/>
      <w:bookmarkStart w:id="197" w:name="_Hlk7277900"/>
      <w:bookmarkEnd w:id="186"/>
      <w:bookmarkEnd w:id="195"/>
      <w:r w:rsidRPr="00A11646">
        <w:rPr>
          <w:rFonts w:ascii="Times New Roman" w:eastAsia="Calibri" w:hAnsi="Times New Roman"/>
          <w:b/>
          <w:sz w:val="28"/>
          <w:szCs w:val="28"/>
        </w:rPr>
        <w:t xml:space="preserve"> 4.4. </w:t>
      </w:r>
      <w:r w:rsidRPr="00A11646">
        <w:rPr>
          <w:rFonts w:ascii="Times New Roman" w:eastAsia="Times New Roman" w:hAnsi="Times New Roman"/>
          <w:b/>
          <w:sz w:val="28"/>
          <w:szCs w:val="28"/>
          <w:lang w:val="uz-Cyrl-UZ"/>
        </w:rPr>
        <w:t>Выживаемость у больн</w:t>
      </w:r>
      <w:r w:rsidRPr="00A11646">
        <w:rPr>
          <w:rFonts w:ascii="Times New Roman" w:eastAsia="Times New Roman" w:hAnsi="Times New Roman"/>
          <w:b/>
          <w:sz w:val="28"/>
          <w:szCs w:val="28"/>
        </w:rPr>
        <w:t>ы</w:t>
      </w:r>
      <w:r w:rsidRPr="00A11646">
        <w:rPr>
          <w:rFonts w:ascii="Times New Roman" w:eastAsia="Times New Roman" w:hAnsi="Times New Roman"/>
          <w:b/>
          <w:sz w:val="28"/>
          <w:szCs w:val="28"/>
          <w:lang w:val="uz-Cyrl-UZ"/>
        </w:rPr>
        <w:t xml:space="preserve">х ММ  </w:t>
      </w:r>
    </w:p>
    <w:bookmarkEnd w:id="196"/>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r w:rsidRPr="00A11646">
        <w:rPr>
          <w:rFonts w:ascii="Times New Roman" w:eastAsia="Times New Roman" w:hAnsi="Times New Roman"/>
          <w:sz w:val="28"/>
          <w:szCs w:val="28"/>
          <w:lang w:val="uz-Cyrl-UZ"/>
        </w:rPr>
        <w:t>Важным этапом нашей работы являлось проведение анализавыживаемости больных ММ в подгруппах “А” и “Б” в зависимости от проведенной терапии с учетом иммунохимического варианта ММ и лабораторных показателей.</w:t>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t xml:space="preserve">При медиане наблюдения 60 месяцев (диапазон 1–96 месяцев) общая (ОВ) и без рецидивная выживаемость (БРВ) у больных ММ имела некоторые различия. </w:t>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t>В</w:t>
      </w:r>
      <w:r w:rsidR="003A2121">
        <w:rPr>
          <w:rFonts w:ascii="Times New Roman" w:hAnsi="Times New Roman"/>
          <w:sz w:val="28"/>
          <w:szCs w:val="28"/>
          <w:lang w:val="uz-Cyrl-UZ"/>
        </w:rPr>
        <w:t xml:space="preserve"> </w:t>
      </w:r>
      <w:r w:rsidRPr="00A11646">
        <w:rPr>
          <w:rFonts w:ascii="Times New Roman" w:hAnsi="Times New Roman"/>
          <w:sz w:val="28"/>
          <w:szCs w:val="28"/>
        </w:rPr>
        <w:t xml:space="preserve">«А» подгруппе больных ММ получавшие только ПХТ по протоколу </w:t>
      </w:r>
      <w:r w:rsidRPr="00A11646">
        <w:rPr>
          <w:rFonts w:ascii="Times New Roman" w:hAnsi="Times New Roman"/>
          <w:sz w:val="28"/>
          <w:szCs w:val="28"/>
          <w:lang w:val="en-US"/>
        </w:rPr>
        <w:t>VCD</w:t>
      </w:r>
      <w:r w:rsidRPr="00A11646">
        <w:rPr>
          <w:rFonts w:ascii="Times New Roman" w:hAnsi="Times New Roman"/>
          <w:sz w:val="28"/>
          <w:szCs w:val="28"/>
        </w:rPr>
        <w:t xml:space="preserve"> (4 курса) ( n=87) БРВ до 12 месяцев</w:t>
      </w:r>
      <w:r w:rsidR="00876211">
        <w:rPr>
          <w:rFonts w:ascii="Times New Roman" w:hAnsi="Times New Roman"/>
          <w:sz w:val="28"/>
          <w:szCs w:val="28"/>
          <w:lang w:val="uz-Cyrl-UZ"/>
        </w:rPr>
        <w:t xml:space="preserve"> </w:t>
      </w:r>
      <w:r w:rsidRPr="00A11646">
        <w:rPr>
          <w:rFonts w:ascii="Times New Roman" w:hAnsi="Times New Roman"/>
          <w:sz w:val="28"/>
          <w:szCs w:val="28"/>
        </w:rPr>
        <w:t xml:space="preserve">зарегистрирована у 63 больных, что составило в среднем </w:t>
      </w:r>
      <w:r w:rsidRPr="00A11646">
        <w:rPr>
          <w:rFonts w:ascii="Times New Roman" w:eastAsia="Batang" w:hAnsi="Times New Roman"/>
          <w:sz w:val="28"/>
          <w:szCs w:val="28"/>
          <w:lang w:eastAsia="ko-KR" w:bidi="pa-IN"/>
        </w:rPr>
        <w:t xml:space="preserve">72,4±4,8% (р&gt;0,05), до 36 месяцев -  у 15 </w:t>
      </w:r>
      <w:r w:rsidRPr="00A11646">
        <w:rPr>
          <w:rFonts w:ascii="Times New Roman" w:eastAsia="Batang" w:hAnsi="Times New Roman"/>
          <w:sz w:val="28"/>
          <w:szCs w:val="28"/>
          <w:lang w:eastAsia="ko-KR" w:bidi="pa-IN"/>
        </w:rPr>
        <w:lastRenderedPageBreak/>
        <w:t xml:space="preserve">(17,2±4,1%; р&lt;0,01) и </w:t>
      </w:r>
      <w:r w:rsidRPr="00A11646">
        <w:rPr>
          <w:rFonts w:ascii="Times New Roman" w:hAnsi="Times New Roman"/>
          <w:sz w:val="28"/>
          <w:szCs w:val="28"/>
        </w:rPr>
        <w:t xml:space="preserve">до 60месяцев и более –у  4 (4,6±2,3%; </w:t>
      </w:r>
      <w:r w:rsidRPr="00A11646">
        <w:rPr>
          <w:rFonts w:ascii="Times New Roman" w:eastAsia="Batang" w:hAnsi="Times New Roman"/>
          <w:sz w:val="28"/>
          <w:szCs w:val="28"/>
          <w:lang w:eastAsia="ko-KR" w:bidi="pa-IN"/>
        </w:rPr>
        <w:t>р&lt;0,01и р&lt;0,05)</w:t>
      </w:r>
      <w:bookmarkEnd w:id="197"/>
      <w:r w:rsidRPr="00A11646">
        <w:rPr>
          <w:rFonts w:ascii="Times New Roman" w:hAnsi="Times New Roman"/>
          <w:sz w:val="28"/>
          <w:szCs w:val="28"/>
          <w:lang w:val="uz-Cyrl-UZ"/>
        </w:rPr>
        <w:t>(табл.4.3.1.)</w:t>
      </w:r>
      <w:r w:rsidRPr="00A11646">
        <w:rPr>
          <w:rFonts w:ascii="Times New Roman" w:hAnsi="Times New Roman"/>
          <w:sz w:val="28"/>
          <w:szCs w:val="28"/>
        </w:rPr>
        <w:t xml:space="preserve">. </w:t>
      </w:r>
    </w:p>
    <w:p w:rsidR="00190E3E" w:rsidRPr="00A11646" w:rsidRDefault="00190E3E" w:rsidP="00190E3E">
      <w:pPr>
        <w:spacing w:after="160" w:line="360" w:lineRule="auto"/>
        <w:ind w:firstLine="708"/>
        <w:jc w:val="right"/>
        <w:rPr>
          <w:rFonts w:ascii="Times New Roman" w:hAnsi="Times New Roman"/>
          <w:b/>
          <w:sz w:val="28"/>
          <w:szCs w:val="28"/>
        </w:rPr>
      </w:pPr>
      <w:bookmarkStart w:id="198" w:name="_Hlk20249688"/>
      <w:r w:rsidRPr="00A11646">
        <w:rPr>
          <w:rFonts w:ascii="Times New Roman" w:hAnsi="Times New Roman"/>
          <w:b/>
          <w:sz w:val="28"/>
          <w:szCs w:val="28"/>
        </w:rPr>
        <w:t>Таблица 4.3.1.</w:t>
      </w:r>
    </w:p>
    <w:p w:rsidR="00190E3E" w:rsidRPr="00A11646" w:rsidRDefault="00190E3E" w:rsidP="00190E3E">
      <w:pPr>
        <w:spacing w:after="160" w:line="259" w:lineRule="auto"/>
        <w:jc w:val="center"/>
        <w:rPr>
          <w:rFonts w:ascii="Times New Roman" w:hAnsi="Times New Roman"/>
          <w:b/>
          <w:sz w:val="28"/>
          <w:szCs w:val="28"/>
        </w:rPr>
      </w:pPr>
      <w:r w:rsidRPr="00A11646">
        <w:rPr>
          <w:rFonts w:ascii="Times New Roman" w:hAnsi="Times New Roman"/>
          <w:b/>
          <w:sz w:val="28"/>
          <w:szCs w:val="28"/>
        </w:rPr>
        <w:t>Анализ БРВ среди пациентов ММ получивших ПХТ по схеме</w:t>
      </w:r>
      <w:r w:rsidRPr="00A11646">
        <w:rPr>
          <w:rFonts w:ascii="Times New Roman" w:hAnsi="Times New Roman"/>
          <w:b/>
          <w:sz w:val="28"/>
          <w:szCs w:val="28"/>
          <w:lang w:val="en-US"/>
        </w:rPr>
        <w:t>VCD</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w:t>
      </w:r>
    </w:p>
    <w:tbl>
      <w:tblPr>
        <w:tblW w:w="9259" w:type="dxa"/>
        <w:tblInd w:w="92" w:type="dxa"/>
        <w:tblLook w:val="0000"/>
      </w:tblPr>
      <w:tblGrid>
        <w:gridCol w:w="649"/>
        <w:gridCol w:w="1389"/>
        <w:gridCol w:w="678"/>
        <w:gridCol w:w="1860"/>
        <w:gridCol w:w="756"/>
        <w:gridCol w:w="1490"/>
        <w:gridCol w:w="678"/>
        <w:gridCol w:w="1759"/>
      </w:tblGrid>
      <w:tr w:rsidR="00A11646" w:rsidRPr="00A11646" w:rsidTr="00A11646">
        <w:trPr>
          <w:trHeight w:val="390"/>
        </w:trPr>
        <w:tc>
          <w:tcPr>
            <w:tcW w:w="203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190E3E" w:rsidRPr="00A11646" w:rsidRDefault="00190E3E" w:rsidP="00A11646">
            <w:pPr>
              <w:pStyle w:val="a3"/>
              <w:jc w:val="center"/>
              <w:rPr>
                <w:color w:val="auto"/>
                <w:lang w:eastAsia="ko-KR" w:bidi="pa-IN"/>
              </w:rPr>
            </w:pPr>
            <w:bookmarkStart w:id="199" w:name="_Hlk6513489"/>
            <w:r w:rsidRPr="00A11646">
              <w:rPr>
                <w:color w:val="auto"/>
                <w:lang w:val="uz-Cyrl-UZ" w:eastAsia="ko-KR" w:bidi="pa-IN"/>
              </w:rPr>
              <w:t>Вариант Ig</w:t>
            </w:r>
          </w:p>
        </w:tc>
        <w:tc>
          <w:tcPr>
            <w:tcW w:w="7221"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Выживаемость больных ММ</w:t>
            </w:r>
          </w:p>
        </w:tc>
      </w:tr>
      <w:tr w:rsidR="00A11646" w:rsidRPr="00A11646" w:rsidTr="00A11646">
        <w:trPr>
          <w:trHeight w:val="375"/>
        </w:trPr>
        <w:tc>
          <w:tcPr>
            <w:tcW w:w="2038"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pStyle w:val="a3"/>
              <w:jc w:val="center"/>
              <w:rPr>
                <w:color w:val="auto"/>
                <w:lang w:eastAsia="ko-KR" w:bidi="pa-IN"/>
              </w:rPr>
            </w:pPr>
          </w:p>
        </w:tc>
        <w:tc>
          <w:tcPr>
            <w:tcW w:w="7221"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БРВ</w:t>
            </w:r>
          </w:p>
        </w:tc>
      </w:tr>
      <w:tr w:rsidR="00A11646" w:rsidRPr="00A11646" w:rsidTr="00A11646">
        <w:trPr>
          <w:trHeight w:val="375"/>
        </w:trPr>
        <w:tc>
          <w:tcPr>
            <w:tcW w:w="2038"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pStyle w:val="a3"/>
              <w:jc w:val="center"/>
              <w:rPr>
                <w:color w:val="auto"/>
                <w:lang w:eastAsia="ko-KR" w:bidi="pa-IN"/>
              </w:rPr>
            </w:pPr>
          </w:p>
        </w:tc>
        <w:tc>
          <w:tcPr>
            <w:tcW w:w="2538"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До 12 мес</w:t>
            </w:r>
          </w:p>
        </w:tc>
        <w:tc>
          <w:tcPr>
            <w:tcW w:w="2246"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До 36 мес</w:t>
            </w:r>
          </w:p>
        </w:tc>
        <w:tc>
          <w:tcPr>
            <w:tcW w:w="2437"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До 60 мес</w:t>
            </w:r>
          </w:p>
        </w:tc>
      </w:tr>
      <w:tr w:rsidR="00A11646" w:rsidRPr="00A11646" w:rsidTr="00A11646">
        <w:trPr>
          <w:trHeight w:val="375"/>
        </w:trPr>
        <w:tc>
          <w:tcPr>
            <w:tcW w:w="2038"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pStyle w:val="a3"/>
              <w:jc w:val="center"/>
              <w:rPr>
                <w:color w:val="auto"/>
                <w:lang w:eastAsia="ko-KR" w:bidi="pa-IN"/>
              </w:rPr>
            </w:pPr>
          </w:p>
        </w:tc>
        <w:tc>
          <w:tcPr>
            <w:tcW w:w="678" w:type="dxa"/>
            <w:tcBorders>
              <w:top w:val="nil"/>
              <w:left w:val="nil"/>
              <w:bottom w:val="single" w:sz="4" w:space="0" w:color="auto"/>
              <w:right w:val="single" w:sz="4" w:space="0" w:color="auto"/>
            </w:tcBorders>
            <w:shd w:val="clear" w:color="auto" w:fill="auto"/>
          </w:tcPr>
          <w:p w:rsidR="00190E3E" w:rsidRPr="00A11646" w:rsidRDefault="00190E3E" w:rsidP="00A11646">
            <w:pPr>
              <w:pStyle w:val="a3"/>
              <w:jc w:val="center"/>
              <w:rPr>
                <w:color w:val="auto"/>
                <w:lang w:eastAsia="ko-KR" w:bidi="pa-IN"/>
              </w:rPr>
            </w:pPr>
            <w:r w:rsidRPr="00A11646">
              <w:rPr>
                <w:color w:val="auto"/>
                <w:lang w:eastAsia="ko-KR" w:bidi="pa-IN"/>
              </w:rPr>
              <w:t>абс.</w:t>
            </w:r>
          </w:p>
        </w:tc>
        <w:tc>
          <w:tcPr>
            <w:tcW w:w="1860" w:type="dxa"/>
            <w:tcBorders>
              <w:top w:val="nil"/>
              <w:left w:val="nil"/>
              <w:bottom w:val="single" w:sz="4" w:space="0" w:color="auto"/>
              <w:right w:val="single" w:sz="4" w:space="0" w:color="auto"/>
            </w:tcBorders>
            <w:shd w:val="clear" w:color="auto" w:fill="auto"/>
          </w:tcPr>
          <w:p w:rsidR="00190E3E" w:rsidRPr="00A11646" w:rsidRDefault="00190E3E" w:rsidP="00A11646">
            <w:pPr>
              <w:pStyle w:val="a3"/>
              <w:jc w:val="center"/>
              <w:rPr>
                <w:color w:val="auto"/>
                <w:lang w:eastAsia="ko-KR" w:bidi="pa-IN"/>
              </w:rPr>
            </w:pPr>
            <w:r w:rsidRPr="00A11646">
              <w:rPr>
                <w:color w:val="auto"/>
                <w:lang w:eastAsia="ko-KR" w:bidi="pa-IN"/>
              </w:rPr>
              <w:t>%</w:t>
            </w:r>
          </w:p>
        </w:tc>
        <w:tc>
          <w:tcPr>
            <w:tcW w:w="756" w:type="dxa"/>
            <w:tcBorders>
              <w:top w:val="nil"/>
              <w:left w:val="nil"/>
              <w:bottom w:val="single" w:sz="4" w:space="0" w:color="auto"/>
              <w:right w:val="single" w:sz="4" w:space="0" w:color="auto"/>
            </w:tcBorders>
            <w:shd w:val="clear" w:color="auto" w:fill="auto"/>
          </w:tcPr>
          <w:p w:rsidR="00190E3E" w:rsidRPr="00A11646" w:rsidRDefault="00190E3E" w:rsidP="00A11646">
            <w:pPr>
              <w:pStyle w:val="a3"/>
              <w:jc w:val="center"/>
              <w:rPr>
                <w:color w:val="auto"/>
                <w:lang w:eastAsia="ko-KR" w:bidi="pa-IN"/>
              </w:rPr>
            </w:pPr>
            <w:r w:rsidRPr="00A11646">
              <w:rPr>
                <w:color w:val="auto"/>
                <w:lang w:eastAsia="ko-KR" w:bidi="pa-IN"/>
              </w:rPr>
              <w:t>абс.</w:t>
            </w:r>
          </w:p>
        </w:tc>
        <w:tc>
          <w:tcPr>
            <w:tcW w:w="1490" w:type="dxa"/>
            <w:tcBorders>
              <w:top w:val="nil"/>
              <w:left w:val="nil"/>
              <w:bottom w:val="single" w:sz="4" w:space="0" w:color="auto"/>
              <w:right w:val="single" w:sz="4" w:space="0" w:color="auto"/>
            </w:tcBorders>
            <w:shd w:val="clear" w:color="auto" w:fill="auto"/>
          </w:tcPr>
          <w:p w:rsidR="00190E3E" w:rsidRPr="00A11646" w:rsidRDefault="00190E3E" w:rsidP="00A11646">
            <w:pPr>
              <w:pStyle w:val="a3"/>
              <w:jc w:val="center"/>
              <w:rPr>
                <w:color w:val="auto"/>
                <w:lang w:eastAsia="ko-KR" w:bidi="pa-IN"/>
              </w:rPr>
            </w:pPr>
            <w:r w:rsidRPr="00A11646">
              <w:rPr>
                <w:color w:val="auto"/>
                <w:lang w:eastAsia="ko-KR" w:bidi="pa-IN"/>
              </w:rPr>
              <w:t>%</w:t>
            </w:r>
          </w:p>
        </w:tc>
        <w:tc>
          <w:tcPr>
            <w:tcW w:w="678" w:type="dxa"/>
            <w:tcBorders>
              <w:top w:val="nil"/>
              <w:left w:val="nil"/>
              <w:bottom w:val="single" w:sz="4" w:space="0" w:color="auto"/>
              <w:right w:val="single" w:sz="4" w:space="0" w:color="auto"/>
            </w:tcBorders>
            <w:shd w:val="clear" w:color="auto" w:fill="auto"/>
          </w:tcPr>
          <w:p w:rsidR="00190E3E" w:rsidRPr="00A11646" w:rsidRDefault="00190E3E" w:rsidP="00A11646">
            <w:pPr>
              <w:pStyle w:val="a3"/>
              <w:jc w:val="center"/>
              <w:rPr>
                <w:color w:val="auto"/>
                <w:lang w:eastAsia="ko-KR" w:bidi="pa-IN"/>
              </w:rPr>
            </w:pPr>
            <w:r w:rsidRPr="00A11646">
              <w:rPr>
                <w:color w:val="auto"/>
                <w:lang w:eastAsia="ko-KR" w:bidi="pa-IN"/>
              </w:rPr>
              <w:t>абс.</w:t>
            </w:r>
          </w:p>
        </w:tc>
        <w:tc>
          <w:tcPr>
            <w:tcW w:w="1759" w:type="dxa"/>
            <w:tcBorders>
              <w:top w:val="nil"/>
              <w:left w:val="nil"/>
              <w:bottom w:val="single" w:sz="4" w:space="0" w:color="auto"/>
              <w:right w:val="single" w:sz="4" w:space="0" w:color="auto"/>
            </w:tcBorders>
            <w:shd w:val="clear" w:color="auto" w:fill="auto"/>
          </w:tcPr>
          <w:p w:rsidR="00190E3E" w:rsidRPr="00A11646" w:rsidRDefault="00190E3E" w:rsidP="00A11646">
            <w:pPr>
              <w:pStyle w:val="a3"/>
              <w:jc w:val="center"/>
              <w:rPr>
                <w:color w:val="auto"/>
                <w:lang w:eastAsia="ko-KR" w:bidi="pa-IN"/>
              </w:rPr>
            </w:pPr>
            <w:r w:rsidRPr="00A11646">
              <w:rPr>
                <w:color w:val="auto"/>
                <w:lang w:eastAsia="ko-KR" w:bidi="pa-IN"/>
              </w:rPr>
              <w:t>%</w:t>
            </w:r>
          </w:p>
        </w:tc>
      </w:tr>
      <w:tr w:rsidR="00A11646" w:rsidRPr="00A11646" w:rsidTr="00A11646">
        <w:trPr>
          <w:trHeight w:val="459"/>
        </w:trPr>
        <w:tc>
          <w:tcPr>
            <w:tcW w:w="649"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en-US" w:eastAsia="ko-KR" w:bidi="pa-IN"/>
              </w:rPr>
              <w:t>G</w:t>
            </w:r>
          </w:p>
        </w:tc>
        <w:tc>
          <w:tcPr>
            <w:tcW w:w="138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κ, (</w:t>
            </w:r>
            <w:bookmarkStart w:id="200" w:name="_Hlk6515140"/>
            <w:r w:rsidRPr="00A11646">
              <w:rPr>
                <w:color w:val="auto"/>
                <w:lang w:eastAsia="ko-KR" w:bidi="pa-IN"/>
              </w:rPr>
              <w:t>n=40</w:t>
            </w:r>
            <w:bookmarkEnd w:id="200"/>
            <w:r w:rsidRPr="00A11646">
              <w:rPr>
                <w:color w:val="auto"/>
                <w:lang w:eastAsia="ko-KR" w:bidi="pa-IN"/>
              </w:rPr>
              <w:t>)</w:t>
            </w:r>
          </w:p>
        </w:tc>
        <w:tc>
          <w:tcPr>
            <w:tcW w:w="6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32</w:t>
            </w:r>
          </w:p>
        </w:tc>
        <w:tc>
          <w:tcPr>
            <w:tcW w:w="186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36,8</w:t>
            </w:r>
            <w:r w:rsidRPr="00A11646">
              <w:rPr>
                <w:color w:val="auto"/>
                <w:lang w:val="en-US" w:eastAsia="ko-KR" w:bidi="pa-IN"/>
              </w:rPr>
              <w:t>±5</w:t>
            </w:r>
            <w:r w:rsidRPr="00A11646">
              <w:rPr>
                <w:color w:val="auto"/>
                <w:lang w:eastAsia="ko-KR" w:bidi="pa-IN"/>
              </w:rPr>
              <w:t>,</w:t>
            </w:r>
            <w:r w:rsidRPr="00A11646">
              <w:rPr>
                <w:color w:val="auto"/>
                <w:lang w:val="en-US" w:eastAsia="ko-KR" w:bidi="pa-IN"/>
              </w:rPr>
              <w:t>2</w:t>
            </w:r>
          </w:p>
        </w:tc>
        <w:tc>
          <w:tcPr>
            <w:tcW w:w="756"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3</w:t>
            </w:r>
          </w:p>
        </w:tc>
        <w:tc>
          <w:tcPr>
            <w:tcW w:w="14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3,4±2,0***</w:t>
            </w:r>
          </w:p>
        </w:tc>
        <w:tc>
          <w:tcPr>
            <w:tcW w:w="6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3</w:t>
            </w:r>
          </w:p>
        </w:tc>
        <w:tc>
          <w:tcPr>
            <w:tcW w:w="1759"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3,4±2,0***</w:t>
            </w:r>
          </w:p>
        </w:tc>
      </w:tr>
      <w:tr w:rsidR="00A11646" w:rsidRPr="00A11646" w:rsidTr="00A11646">
        <w:trPr>
          <w:trHeight w:val="423"/>
        </w:trPr>
        <w:tc>
          <w:tcPr>
            <w:tcW w:w="649"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pStyle w:val="a3"/>
              <w:jc w:val="center"/>
              <w:rPr>
                <w:color w:val="auto"/>
                <w:lang w:eastAsia="ko-KR" w:bidi="pa-IN"/>
              </w:rPr>
            </w:pPr>
          </w:p>
        </w:tc>
        <w:tc>
          <w:tcPr>
            <w:tcW w:w="138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λ, (n=16)</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11</w:t>
            </w:r>
          </w:p>
        </w:tc>
        <w:tc>
          <w:tcPr>
            <w:tcW w:w="186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bookmarkStart w:id="201" w:name="_Hlk6514931"/>
            <w:r w:rsidRPr="00A11646">
              <w:rPr>
                <w:color w:val="auto"/>
                <w:lang w:eastAsia="ko-KR" w:bidi="pa-IN"/>
              </w:rPr>
              <w:t>12,6±3,6</w:t>
            </w:r>
            <w:bookmarkEnd w:id="201"/>
          </w:p>
        </w:tc>
        <w:tc>
          <w:tcPr>
            <w:tcW w:w="75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7</w:t>
            </w:r>
          </w:p>
        </w:tc>
        <w:tc>
          <w:tcPr>
            <w:tcW w:w="14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bookmarkStart w:id="202" w:name="_Hlk6514950"/>
            <w:r w:rsidRPr="00A11646">
              <w:rPr>
                <w:color w:val="auto"/>
                <w:lang w:eastAsia="ko-KR" w:bidi="pa-IN"/>
              </w:rPr>
              <w:t>8,0±2,9</w:t>
            </w:r>
            <w:bookmarkEnd w:id="202"/>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1</w:t>
            </w:r>
          </w:p>
        </w:tc>
        <w:tc>
          <w:tcPr>
            <w:tcW w:w="1759"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val="en-US" w:eastAsia="ko-KR" w:bidi="pa-IN"/>
              </w:rPr>
            </w:pPr>
            <w:bookmarkStart w:id="203" w:name="_Hlk6514993"/>
            <w:r w:rsidRPr="00A11646">
              <w:rPr>
                <w:color w:val="auto"/>
                <w:lang w:eastAsia="ko-KR" w:bidi="pa-IN"/>
              </w:rPr>
              <w:t>1,1±1,1**</w:t>
            </w:r>
            <w:r w:rsidRPr="00A11646">
              <w:rPr>
                <w:color w:val="auto"/>
                <w:lang w:val="en-US" w:eastAsia="ko-KR" w:bidi="pa-IN"/>
              </w:rPr>
              <w:t>^</w:t>
            </w:r>
            <w:bookmarkEnd w:id="203"/>
          </w:p>
        </w:tc>
      </w:tr>
      <w:tr w:rsidR="00A11646" w:rsidRPr="00A11646" w:rsidTr="00A11646">
        <w:trPr>
          <w:trHeight w:val="415"/>
        </w:trPr>
        <w:tc>
          <w:tcPr>
            <w:tcW w:w="649"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А</w:t>
            </w:r>
          </w:p>
        </w:tc>
        <w:tc>
          <w:tcPr>
            <w:tcW w:w="138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κ,</w:t>
            </w:r>
            <w:bookmarkStart w:id="204" w:name="_Hlk6515397"/>
            <w:r w:rsidRPr="00A11646">
              <w:rPr>
                <w:color w:val="auto"/>
                <w:lang w:eastAsia="ko-KR" w:bidi="pa-IN"/>
              </w:rPr>
              <w:t>(n=5)</w:t>
            </w:r>
            <w:bookmarkEnd w:id="204"/>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4</w:t>
            </w:r>
          </w:p>
        </w:tc>
        <w:tc>
          <w:tcPr>
            <w:tcW w:w="186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val="en-US" w:eastAsia="ko-KR" w:bidi="pa-IN"/>
              </w:rPr>
            </w:pPr>
            <w:r w:rsidRPr="00A11646">
              <w:rPr>
                <w:color w:val="auto"/>
                <w:lang w:eastAsia="ko-KR" w:bidi="pa-IN"/>
              </w:rPr>
              <w:t>4,6±2,3</w:t>
            </w:r>
            <w:r w:rsidRPr="00A11646">
              <w:rPr>
                <w:color w:val="auto"/>
                <w:lang w:val="en-US" w:eastAsia="ko-KR" w:bidi="pa-IN"/>
              </w:rPr>
              <w:t>&amp;&amp;&amp;</w:t>
            </w:r>
          </w:p>
        </w:tc>
        <w:tc>
          <w:tcPr>
            <w:tcW w:w="75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2</w:t>
            </w:r>
          </w:p>
        </w:tc>
        <w:tc>
          <w:tcPr>
            <w:tcW w:w="14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bookmarkStart w:id="205" w:name="_Hlk6515291"/>
            <w:r w:rsidRPr="00A11646">
              <w:rPr>
                <w:color w:val="auto"/>
                <w:lang w:eastAsia="ko-KR" w:bidi="pa-IN"/>
              </w:rPr>
              <w:t>2,3±1,6</w:t>
            </w:r>
            <w:bookmarkEnd w:id="205"/>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0</w:t>
            </w:r>
          </w:p>
        </w:tc>
        <w:tc>
          <w:tcPr>
            <w:tcW w:w="1759"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0*</w:t>
            </w:r>
          </w:p>
        </w:tc>
      </w:tr>
      <w:tr w:rsidR="00A11646" w:rsidRPr="00A11646" w:rsidTr="00A11646">
        <w:trPr>
          <w:trHeight w:val="422"/>
        </w:trPr>
        <w:tc>
          <w:tcPr>
            <w:tcW w:w="649"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pStyle w:val="a3"/>
              <w:jc w:val="center"/>
              <w:rPr>
                <w:color w:val="auto"/>
                <w:lang w:eastAsia="ko-KR" w:bidi="pa-IN"/>
              </w:rPr>
            </w:pPr>
          </w:p>
        </w:tc>
        <w:tc>
          <w:tcPr>
            <w:tcW w:w="138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λ, (n=12)</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6</w:t>
            </w:r>
          </w:p>
        </w:tc>
        <w:tc>
          <w:tcPr>
            <w:tcW w:w="186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bookmarkStart w:id="206" w:name="_Hlk6515507"/>
            <w:r w:rsidRPr="00A11646">
              <w:rPr>
                <w:color w:val="auto"/>
                <w:lang w:eastAsia="ko-KR" w:bidi="pa-IN"/>
              </w:rPr>
              <w:t>6,9±2,7</w:t>
            </w:r>
            <w:bookmarkEnd w:id="206"/>
          </w:p>
        </w:tc>
        <w:tc>
          <w:tcPr>
            <w:tcW w:w="75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0</w:t>
            </w:r>
          </w:p>
        </w:tc>
        <w:tc>
          <w:tcPr>
            <w:tcW w:w="14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val="en-US" w:eastAsia="ko-KR" w:bidi="pa-IN"/>
              </w:rPr>
            </w:pPr>
            <w:r w:rsidRPr="00A11646">
              <w:rPr>
                <w:color w:val="auto"/>
                <w:lang w:eastAsia="ko-KR" w:bidi="pa-IN"/>
              </w:rPr>
              <w:t>0*</w:t>
            </w:r>
            <w:r w:rsidRPr="00A11646">
              <w:rPr>
                <w:color w:val="auto"/>
                <w:lang w:val="en-US" w:eastAsia="ko-KR" w:bidi="pa-IN"/>
              </w:rPr>
              <w:t>&amp;</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0</w:t>
            </w:r>
          </w:p>
        </w:tc>
        <w:tc>
          <w:tcPr>
            <w:tcW w:w="1759"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0*</w:t>
            </w:r>
          </w:p>
        </w:tc>
      </w:tr>
      <w:tr w:rsidR="00A11646" w:rsidRPr="00A11646" w:rsidTr="00A11646">
        <w:trPr>
          <w:trHeight w:val="555"/>
        </w:trPr>
        <w:tc>
          <w:tcPr>
            <w:tcW w:w="20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Редкие варианты, (n=14)</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10</w:t>
            </w:r>
          </w:p>
        </w:tc>
        <w:tc>
          <w:tcPr>
            <w:tcW w:w="186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11,5±3,4</w:t>
            </w:r>
          </w:p>
        </w:tc>
        <w:tc>
          <w:tcPr>
            <w:tcW w:w="75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3</w:t>
            </w:r>
          </w:p>
        </w:tc>
        <w:tc>
          <w:tcPr>
            <w:tcW w:w="14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bookmarkStart w:id="207" w:name="_Hlk6515759"/>
            <w:r w:rsidRPr="00A11646">
              <w:rPr>
                <w:color w:val="auto"/>
                <w:lang w:eastAsia="ko-KR" w:bidi="pa-IN"/>
              </w:rPr>
              <w:t>3,4±2,0</w:t>
            </w:r>
            <w:bookmarkEnd w:id="207"/>
            <w:r w:rsidRPr="00A11646">
              <w:rPr>
                <w:color w:val="auto"/>
                <w:lang w:eastAsia="ko-KR" w:bidi="pa-IN"/>
              </w:rPr>
              <w:t>*</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0</w:t>
            </w:r>
          </w:p>
        </w:tc>
        <w:tc>
          <w:tcPr>
            <w:tcW w:w="1759"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0**</w:t>
            </w:r>
          </w:p>
        </w:tc>
      </w:tr>
      <w:tr w:rsidR="00A11646" w:rsidRPr="00A11646" w:rsidTr="00A11646">
        <w:trPr>
          <w:trHeight w:val="375"/>
        </w:trPr>
        <w:tc>
          <w:tcPr>
            <w:tcW w:w="203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eastAsia="ko-KR" w:bidi="pa-IN"/>
              </w:rPr>
              <w:t>Всего (n=87)</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63</w:t>
            </w:r>
          </w:p>
        </w:tc>
        <w:tc>
          <w:tcPr>
            <w:tcW w:w="186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r w:rsidRPr="00A11646">
              <w:rPr>
                <w:color w:val="auto"/>
                <w:lang w:eastAsia="ko-KR" w:bidi="pa-IN"/>
              </w:rPr>
              <w:t>72,4±4,8</w:t>
            </w:r>
          </w:p>
        </w:tc>
        <w:tc>
          <w:tcPr>
            <w:tcW w:w="75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15</w:t>
            </w:r>
          </w:p>
        </w:tc>
        <w:tc>
          <w:tcPr>
            <w:tcW w:w="14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eastAsia="ko-KR" w:bidi="pa-IN"/>
              </w:rPr>
            </w:pPr>
            <w:bookmarkStart w:id="208" w:name="_Hlk6513960"/>
            <w:r w:rsidRPr="00A11646">
              <w:rPr>
                <w:color w:val="auto"/>
                <w:lang w:eastAsia="ko-KR" w:bidi="pa-IN"/>
              </w:rPr>
              <w:t>17,2±4,1**</w:t>
            </w:r>
            <w:bookmarkEnd w:id="208"/>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pStyle w:val="a3"/>
              <w:jc w:val="center"/>
              <w:rPr>
                <w:color w:val="auto"/>
                <w:lang w:eastAsia="ko-KR" w:bidi="pa-IN"/>
              </w:rPr>
            </w:pPr>
            <w:r w:rsidRPr="00A11646">
              <w:rPr>
                <w:color w:val="auto"/>
                <w:lang w:val="uz-Cyrl-UZ" w:eastAsia="ko-KR" w:bidi="pa-IN"/>
              </w:rPr>
              <w:t>4</w:t>
            </w:r>
          </w:p>
        </w:tc>
        <w:tc>
          <w:tcPr>
            <w:tcW w:w="1759"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pStyle w:val="a3"/>
              <w:jc w:val="center"/>
              <w:rPr>
                <w:color w:val="auto"/>
                <w:lang w:val="en-US" w:eastAsia="ko-KR" w:bidi="pa-IN"/>
              </w:rPr>
            </w:pPr>
            <w:r w:rsidRPr="00A11646">
              <w:rPr>
                <w:color w:val="auto"/>
                <w:lang w:eastAsia="ko-KR" w:bidi="pa-IN"/>
              </w:rPr>
              <w:t>4,6±2,3***</w:t>
            </w:r>
            <w:r w:rsidRPr="00A11646">
              <w:rPr>
                <w:color w:val="auto"/>
                <w:lang w:val="en-US" w:eastAsia="ko-KR" w:bidi="pa-IN"/>
              </w:rPr>
              <w:t>^</w:t>
            </w:r>
          </w:p>
        </w:tc>
      </w:tr>
    </w:tbl>
    <w:bookmarkEnd w:id="199"/>
    <w:p w:rsidR="00190E3E" w:rsidRPr="00A11646" w:rsidRDefault="00190E3E" w:rsidP="00190E3E">
      <w:pPr>
        <w:spacing w:after="0" w:line="360" w:lineRule="auto"/>
        <w:ind w:firstLine="900"/>
        <w:jc w:val="both"/>
        <w:rPr>
          <w:rFonts w:ascii="Times New Roman" w:eastAsia="Times New Roman" w:hAnsi="Times New Roman"/>
          <w:sz w:val="28"/>
          <w:szCs w:val="28"/>
        </w:rPr>
      </w:pPr>
      <w:r w:rsidRPr="00A11646">
        <w:rPr>
          <w:rFonts w:ascii="Times New Roman" w:eastAsia="Times New Roman" w:hAnsi="Times New Roman"/>
          <w:sz w:val="28"/>
          <w:szCs w:val="28"/>
        </w:rPr>
        <w:t>Примечание: *- достоверно по сравнению с показателями до 12 мес.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 xml:space="preserve">^ </w:t>
      </w:r>
      <w:r w:rsidRPr="00A11646">
        <w:rPr>
          <w:rFonts w:ascii="Times New Roman" w:eastAsia="Times New Roman" w:hAnsi="Times New Roman"/>
          <w:sz w:val="28"/>
          <w:szCs w:val="28"/>
        </w:rPr>
        <w:t>- достоверно по сравнению с показателями до 36 мес.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&lt;0,05;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&lt;0,01;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&amp;</w:t>
      </w:r>
      <w:r w:rsidRPr="00A11646">
        <w:rPr>
          <w:rFonts w:ascii="Times New Roman" w:eastAsia="Times New Roman" w:hAnsi="Times New Roman"/>
          <w:sz w:val="28"/>
          <w:szCs w:val="28"/>
        </w:rPr>
        <w:t xml:space="preserve">- достоверно по сравнению с показателями </w:t>
      </w:r>
      <w:r w:rsidRPr="00A11646">
        <w:rPr>
          <w:rFonts w:ascii="Times New Roman" w:eastAsia="Batang" w:hAnsi="Times New Roman"/>
          <w:sz w:val="28"/>
          <w:szCs w:val="28"/>
          <w:lang w:val="en-US" w:eastAsia="ko-KR" w:bidi="pa-IN"/>
        </w:rPr>
        <w:t>G</w:t>
      </w:r>
      <w:r w:rsidRPr="00A11646">
        <w:rPr>
          <w:rFonts w:ascii="Times New Roman" w:eastAsia="Times New Roman" w:hAnsi="Times New Roman"/>
          <w:sz w:val="28"/>
          <w:szCs w:val="28"/>
        </w:rPr>
        <w:t xml:space="preserve"> (&amp;-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&amp;&amp;-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&amp;&amp;&amp;</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&lt;0,001).</w:t>
      </w:r>
    </w:p>
    <w:p w:rsidR="00190E3E" w:rsidRPr="00A11646" w:rsidRDefault="00190E3E" w:rsidP="00190E3E">
      <w:pPr>
        <w:spacing w:after="160" w:line="360" w:lineRule="auto"/>
        <w:ind w:firstLine="708"/>
        <w:jc w:val="both"/>
        <w:rPr>
          <w:rFonts w:ascii="Times New Roman" w:hAnsi="Times New Roman"/>
          <w:sz w:val="28"/>
          <w:szCs w:val="28"/>
        </w:rPr>
      </w:pPr>
      <w:bookmarkStart w:id="209" w:name="_Hlk7277917"/>
      <w:bookmarkEnd w:id="198"/>
      <w:r w:rsidRPr="00A11646">
        <w:rPr>
          <w:rFonts w:ascii="Times New Roman" w:eastAsia="Times New Roman" w:hAnsi="Times New Roman"/>
          <w:sz w:val="28"/>
          <w:szCs w:val="28"/>
        </w:rPr>
        <w:t xml:space="preserve">Анализ БРВ в зависимости от иммунохимического варианта ММ показал следующие значения: при </w:t>
      </w:r>
      <w:r w:rsidRPr="00A11646">
        <w:rPr>
          <w:rFonts w:ascii="Times New Roman" w:eastAsia="Times New Roman" w:hAnsi="Times New Roman"/>
          <w:sz w:val="28"/>
          <w:szCs w:val="28"/>
          <w:lang w:val="en-US"/>
        </w:rPr>
        <w:t>IgG</w:t>
      </w:r>
      <w:r w:rsidRPr="00A11646">
        <w:rPr>
          <w:rFonts w:ascii="Times New Roman" w:eastAsia="Batang" w:hAnsi="Times New Roman"/>
          <w:sz w:val="28"/>
          <w:szCs w:val="28"/>
          <w:lang w:eastAsia="ko-KR" w:bidi="pa-IN"/>
        </w:rPr>
        <w:t>κ (n=40)</w:t>
      </w:r>
      <w:bookmarkStart w:id="210" w:name="_Hlk6514909"/>
      <w:r w:rsidRPr="00A11646">
        <w:rPr>
          <w:rFonts w:ascii="Times New Roman" w:hAnsi="Times New Roman"/>
          <w:sz w:val="28"/>
          <w:szCs w:val="28"/>
        </w:rPr>
        <w:t>БРВ до 12 месяцев</w:t>
      </w:r>
      <w:r w:rsidR="00B97471">
        <w:rPr>
          <w:rFonts w:ascii="Times New Roman" w:hAnsi="Times New Roman"/>
          <w:sz w:val="28"/>
          <w:szCs w:val="28"/>
          <w:lang w:val="uz-Cyrl-UZ"/>
        </w:rPr>
        <w:t xml:space="preserve"> </w:t>
      </w:r>
      <w:r w:rsidRPr="00A11646">
        <w:rPr>
          <w:rFonts w:ascii="Times New Roman" w:hAnsi="Times New Roman"/>
          <w:sz w:val="28"/>
          <w:szCs w:val="28"/>
        </w:rPr>
        <w:t>зарегистрирована у 32 больных (36,8±5,2</w:t>
      </w:r>
      <w:r w:rsidRPr="00A11646">
        <w:rPr>
          <w:rFonts w:ascii="Times New Roman" w:eastAsia="Batang" w:hAnsi="Times New Roman"/>
          <w:sz w:val="28"/>
          <w:szCs w:val="28"/>
          <w:lang w:eastAsia="ko-KR" w:bidi="pa-IN"/>
        </w:rPr>
        <w:t>%; (</w:t>
      </w:r>
      <w:bookmarkStart w:id="211" w:name="_Hlk6514971"/>
      <w:r w:rsidRPr="00A11646">
        <w:rPr>
          <w:rFonts w:ascii="Times New Roman" w:eastAsia="Batang" w:hAnsi="Times New Roman"/>
          <w:sz w:val="28"/>
          <w:szCs w:val="28"/>
          <w:lang w:eastAsia="ko-KR" w:bidi="pa-IN"/>
        </w:rPr>
        <w:t>р&gt;0,05</w:t>
      </w:r>
      <w:bookmarkEnd w:id="211"/>
      <w:r w:rsidRPr="00A11646">
        <w:rPr>
          <w:rFonts w:ascii="Times New Roman" w:eastAsia="Batang" w:hAnsi="Times New Roman"/>
          <w:sz w:val="28"/>
          <w:szCs w:val="28"/>
          <w:lang w:eastAsia="ko-KR" w:bidi="pa-IN"/>
        </w:rPr>
        <w:t xml:space="preserve">)), до 36 месяцев -  у 3 (3,4±2,0%; р&lt;0,001) и </w:t>
      </w:r>
      <w:r w:rsidRPr="00A11646">
        <w:rPr>
          <w:rFonts w:ascii="Times New Roman" w:hAnsi="Times New Roman"/>
          <w:sz w:val="28"/>
          <w:szCs w:val="28"/>
        </w:rPr>
        <w:t>до 60 месяцев и более - у 3 (</w:t>
      </w:r>
      <w:r w:rsidRPr="00A11646">
        <w:rPr>
          <w:rFonts w:ascii="Times New Roman" w:eastAsia="Batang" w:hAnsi="Times New Roman"/>
          <w:sz w:val="28"/>
          <w:szCs w:val="28"/>
          <w:lang w:eastAsia="ko-KR" w:bidi="pa-IN"/>
        </w:rPr>
        <w:t>3,4±2,0</w:t>
      </w:r>
      <w:r w:rsidRPr="00A11646">
        <w:rPr>
          <w:rFonts w:ascii="Times New Roman" w:hAnsi="Times New Roman"/>
          <w:sz w:val="28"/>
          <w:szCs w:val="28"/>
        </w:rPr>
        <w:t xml:space="preserve">%; </w:t>
      </w:r>
      <w:r w:rsidRPr="00A11646">
        <w:rPr>
          <w:rFonts w:ascii="Times New Roman" w:eastAsia="Batang" w:hAnsi="Times New Roman"/>
          <w:sz w:val="28"/>
          <w:szCs w:val="28"/>
          <w:lang w:eastAsia="ko-KR" w:bidi="pa-IN"/>
        </w:rPr>
        <w:t>р&lt;0,001)</w:t>
      </w:r>
      <w:bookmarkEnd w:id="210"/>
      <w:r w:rsidRPr="00A11646">
        <w:rPr>
          <w:rFonts w:ascii="Times New Roman" w:eastAsia="Batang" w:hAnsi="Times New Roman"/>
          <w:sz w:val="28"/>
          <w:szCs w:val="28"/>
          <w:lang w:eastAsia="ko-KR" w:bidi="pa-IN"/>
        </w:rPr>
        <w:t xml:space="preserve">;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w:t>
      </w:r>
      <w:r w:rsidRPr="00A11646">
        <w:rPr>
          <w:rFonts w:ascii="Times New Roman" w:hAnsi="Times New Roman"/>
          <w:sz w:val="28"/>
          <w:szCs w:val="28"/>
        </w:rPr>
        <w:t>БРВ до 12 месяцев</w:t>
      </w:r>
      <w:r w:rsidR="00B97471">
        <w:rPr>
          <w:rFonts w:ascii="Times New Roman" w:hAnsi="Times New Roman"/>
          <w:sz w:val="28"/>
          <w:szCs w:val="28"/>
          <w:lang w:val="uz-Cyrl-UZ"/>
        </w:rPr>
        <w:t xml:space="preserve"> </w:t>
      </w:r>
      <w:r w:rsidRPr="00A11646">
        <w:rPr>
          <w:rFonts w:ascii="Times New Roman" w:hAnsi="Times New Roman"/>
          <w:sz w:val="28"/>
          <w:szCs w:val="28"/>
        </w:rPr>
        <w:t>зарегистрирована у 11 больных (12,6±3,6</w:t>
      </w:r>
      <w:r w:rsidRPr="00A11646">
        <w:rPr>
          <w:rFonts w:ascii="Times New Roman" w:eastAsia="Batang" w:hAnsi="Times New Roman"/>
          <w:sz w:val="28"/>
          <w:szCs w:val="28"/>
          <w:lang w:eastAsia="ko-KR" w:bidi="pa-IN"/>
        </w:rPr>
        <w:t xml:space="preserve">%; (р&gt;0,05)), до 36 месяцев -  у 7 (8,0±2,9; р&gt;0,05) и </w:t>
      </w:r>
      <w:r w:rsidRPr="00A11646">
        <w:rPr>
          <w:rFonts w:ascii="Times New Roman" w:hAnsi="Times New Roman"/>
          <w:sz w:val="28"/>
          <w:szCs w:val="28"/>
        </w:rPr>
        <w:t xml:space="preserve">до 60 месяцев и более - у  1 (1,1±1,1%; р&lt;0,01 и р&lt;0,05); при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w:t>
      </w:r>
      <w:r w:rsidRPr="00A11646">
        <w:rPr>
          <w:rFonts w:ascii="Times New Roman" w:hAnsi="Times New Roman"/>
          <w:sz w:val="28"/>
          <w:szCs w:val="28"/>
        </w:rPr>
        <w:t xml:space="preserve"> (n=5) </w:t>
      </w:r>
      <w:r w:rsidRPr="00A11646">
        <w:rPr>
          <w:rFonts w:ascii="Times New Roman" w:eastAsia="Times New Roman" w:hAnsi="Times New Roman"/>
          <w:sz w:val="28"/>
          <w:szCs w:val="28"/>
        </w:rPr>
        <w:t xml:space="preserve">БРВ до 12 месяцев зарегистрирована у 4 больных (4,6±2,3; (р&lt;0,001)), до 36 месяцев -  у 2 (2,3±1,6; р&gt;0,05), а  БРВ до 60 месяцев и более – не зарегистрировано ни у одного больного; при </w:t>
      </w:r>
      <w:bookmarkStart w:id="212" w:name="_Hlk6516549"/>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w:t>
      </w:r>
      <w:bookmarkEnd w:id="212"/>
      <w:r w:rsidRPr="00A11646">
        <w:rPr>
          <w:rFonts w:ascii="Times New Roman" w:eastAsia="Times New Roman" w:hAnsi="Times New Roman"/>
          <w:sz w:val="28"/>
          <w:szCs w:val="28"/>
        </w:rPr>
        <w:t xml:space="preserve">(n=12) БРВ до 12 месяцев зарегистрирована у 6 больных (6,9±2,7; (р&gt;0,05)), БРВ до 36 месяцев, а также до 60 месяцев и </w:t>
      </w:r>
      <w:r w:rsidRPr="00A11646">
        <w:rPr>
          <w:rFonts w:ascii="Times New Roman" w:eastAsia="Times New Roman" w:hAnsi="Times New Roman"/>
          <w:sz w:val="28"/>
          <w:szCs w:val="28"/>
        </w:rPr>
        <w:lastRenderedPageBreak/>
        <w:t>более – не зарегистрировано ни у одного больного; при редких вариантах  (n=14) БРВ до 12 месяцев зарегистрирована у 10 больных (11,5±3,4; (р&gt;0,05)), до 36 месяцев -  у 3 (3,4±2,0; р&lt;0,05), а  БРВ до 60 месяцев и более – не зарегистрирована ни у одного больного.</w:t>
      </w:r>
    </w:p>
    <w:p w:rsidR="00190E3E" w:rsidRPr="00A11646" w:rsidRDefault="00190E3E" w:rsidP="00190E3E">
      <w:pPr>
        <w:spacing w:after="160" w:line="360" w:lineRule="auto"/>
        <w:ind w:firstLine="708"/>
        <w:jc w:val="both"/>
        <w:rPr>
          <w:rFonts w:ascii="Times New Roman" w:eastAsia="Times New Roman" w:hAnsi="Times New Roman"/>
          <w:sz w:val="28"/>
          <w:szCs w:val="28"/>
        </w:rPr>
      </w:pPr>
      <w:r w:rsidRPr="00A11646">
        <w:rPr>
          <w:rFonts w:ascii="Times New Roman" w:eastAsia="Times New Roman" w:hAnsi="Times New Roman"/>
          <w:sz w:val="28"/>
          <w:szCs w:val="28"/>
        </w:rPr>
        <w:t>Вышеприведенные данные показывают, что БРВ среди больных «</w:t>
      </w:r>
      <w:r w:rsidR="00D535B5">
        <w:rPr>
          <w:rFonts w:ascii="Times New Roman" w:eastAsia="Times New Roman" w:hAnsi="Times New Roman"/>
          <w:sz w:val="28"/>
          <w:szCs w:val="28"/>
          <w:lang w:val="uz-Cyrl-UZ"/>
        </w:rPr>
        <w:t>А</w:t>
      </w:r>
      <w:r w:rsidRPr="00A11646">
        <w:rPr>
          <w:rFonts w:ascii="Times New Roman" w:eastAsia="Times New Roman" w:hAnsi="Times New Roman"/>
          <w:sz w:val="28"/>
          <w:szCs w:val="28"/>
        </w:rPr>
        <w:t>» подгруппы до 12 месяцев при IgGκ</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40 больных</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зарегистрирована</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у 32 (80,0%), при варианте IgGλ</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16</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больных у 11 (68,8%), при IgАκ</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5</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больных у 4 (80,0%), при IgAλ</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12</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больных у 6 (50,0%), при редких формах из 14 больных у 10 (71,4%); до 36 месяцев при варианте IgGκ</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40 больных</w:t>
      </w:r>
      <w:r w:rsidR="00B97471">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зарегистрирована у 7 (17,5%), при варианте IgGλиз 16 больных у 2 (12,5%). Вместе с этим при IgАκ</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5 больных и IgAλ</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12</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пациентов БРВ не регистрировалась,  тогда как при редких формах из 14больных БРВ наблюдалась у 3 (21,4%); БРВ до 60 и более месяцев при варианте IgGκ</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7 больных</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отмечена</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у 3 (42,9%), при варианте IgG</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λ</w:t>
      </w:r>
      <w:r w:rsidR="0020638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8</w:t>
      </w:r>
      <w:r w:rsidR="0020638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больных у 1 (12,5%). В то же время при IgАκ</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n</w:t>
      </w:r>
      <w:r w:rsidRPr="00A11646">
        <w:rPr>
          <w:rFonts w:ascii="Times New Roman" w:eastAsia="Times New Roman" w:hAnsi="Times New Roman"/>
          <w:sz w:val="28"/>
          <w:szCs w:val="28"/>
        </w:rPr>
        <w:t>=5), IgAλ</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(n=12)</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 редких формах (n=14)</w:t>
      </w:r>
      <w:r w:rsidR="00D535B5">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БРВ не регистрировалось</w:t>
      </w:r>
      <w:r w:rsidR="0020638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(рис. 4.3.1.).</w:t>
      </w:r>
    </w:p>
    <w:bookmarkEnd w:id="209"/>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eastAsia="Times New Roman" w:hAnsi="Times New Roman"/>
          <w:b/>
          <w:noProof/>
          <w:sz w:val="28"/>
          <w:szCs w:val="28"/>
        </w:rPr>
        <w:drawing>
          <wp:inline distT="0" distB="0" distL="0" distR="0">
            <wp:extent cx="5486400" cy="3200400"/>
            <wp:effectExtent l="19050" t="0" r="1905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90E3E" w:rsidRPr="00A11646" w:rsidRDefault="00190E3E" w:rsidP="00190E3E">
      <w:pPr>
        <w:spacing w:after="160" w:line="360" w:lineRule="auto"/>
        <w:ind w:firstLine="708"/>
        <w:jc w:val="both"/>
        <w:rPr>
          <w:rFonts w:ascii="Times New Roman" w:hAnsi="Times New Roman"/>
          <w:b/>
          <w:sz w:val="28"/>
          <w:szCs w:val="28"/>
        </w:rPr>
      </w:pPr>
      <w:r w:rsidRPr="00A11646">
        <w:rPr>
          <w:rFonts w:ascii="Times New Roman" w:hAnsi="Times New Roman"/>
          <w:b/>
          <w:sz w:val="28"/>
          <w:szCs w:val="28"/>
        </w:rPr>
        <w:t>Рис.4.3.1. БРВ у больных ММ «А» подгруппы в зависимости от иммунохимического варианта.</w:t>
      </w:r>
    </w:p>
    <w:p w:rsidR="00190E3E" w:rsidRPr="00A11646" w:rsidRDefault="00190E3E" w:rsidP="00190E3E">
      <w:pPr>
        <w:spacing w:after="160" w:line="360" w:lineRule="auto"/>
        <w:ind w:firstLine="708"/>
        <w:jc w:val="both"/>
        <w:rPr>
          <w:rFonts w:ascii="Times New Roman" w:hAnsi="Times New Roman"/>
          <w:sz w:val="28"/>
          <w:szCs w:val="28"/>
        </w:rPr>
      </w:pPr>
      <w:bookmarkStart w:id="213" w:name="_Hlk7277931"/>
      <w:r w:rsidRPr="00A11646">
        <w:rPr>
          <w:rFonts w:ascii="Times New Roman" w:hAnsi="Times New Roman"/>
          <w:sz w:val="28"/>
          <w:szCs w:val="28"/>
        </w:rPr>
        <w:lastRenderedPageBreak/>
        <w:t xml:space="preserve">В«Б» подгруппебольных ММ получавшие только ПХТ по протоколу </w:t>
      </w:r>
      <w:r w:rsidRPr="00A11646">
        <w:rPr>
          <w:rFonts w:ascii="Times New Roman" w:hAnsi="Times New Roman"/>
          <w:sz w:val="28"/>
          <w:szCs w:val="28"/>
          <w:lang w:val="en-US"/>
        </w:rPr>
        <w:t>VCD</w:t>
      </w:r>
      <w:r w:rsidRPr="00A11646">
        <w:rPr>
          <w:rFonts w:ascii="Times New Roman" w:hAnsi="Times New Roman"/>
          <w:sz w:val="28"/>
          <w:szCs w:val="28"/>
        </w:rPr>
        <w:t xml:space="preserve"> (4 курса) + аутоТГСК( n=20) БРВ до 12 месяцев</w:t>
      </w:r>
      <w:r w:rsidR="00175CF9">
        <w:rPr>
          <w:rFonts w:ascii="Times New Roman" w:hAnsi="Times New Roman"/>
          <w:sz w:val="28"/>
          <w:szCs w:val="28"/>
          <w:lang w:val="uz-Cyrl-UZ"/>
        </w:rPr>
        <w:t xml:space="preserve"> </w:t>
      </w:r>
      <w:r w:rsidRPr="00A11646">
        <w:rPr>
          <w:rFonts w:ascii="Times New Roman" w:hAnsi="Times New Roman"/>
          <w:sz w:val="28"/>
          <w:szCs w:val="28"/>
        </w:rPr>
        <w:t xml:space="preserve">зарегистрирована у 20больных, что составило в среднем </w:t>
      </w:r>
      <w:r w:rsidRPr="00A11646">
        <w:rPr>
          <w:rFonts w:ascii="Times New Roman" w:eastAsia="Batang" w:hAnsi="Times New Roman"/>
          <w:sz w:val="28"/>
          <w:szCs w:val="28"/>
          <w:lang w:eastAsia="ko-KR" w:bidi="pa-IN"/>
        </w:rPr>
        <w:t xml:space="preserve">100% (р&gt;0,05), до 36 месяцев -  у 16 (80,0±9,2%; р&lt;0,05) и </w:t>
      </w:r>
      <w:r w:rsidRPr="00A11646">
        <w:rPr>
          <w:rFonts w:ascii="Times New Roman" w:hAnsi="Times New Roman"/>
          <w:sz w:val="28"/>
          <w:szCs w:val="28"/>
        </w:rPr>
        <w:t xml:space="preserve">до 60месяцев и более –у  7 (35,0±10,9%; </w:t>
      </w:r>
      <w:r w:rsidRPr="00A11646">
        <w:rPr>
          <w:rFonts w:ascii="Times New Roman" w:eastAsia="Batang" w:hAnsi="Times New Roman"/>
          <w:sz w:val="28"/>
          <w:szCs w:val="28"/>
          <w:lang w:eastAsia="ko-KR" w:bidi="pa-IN"/>
        </w:rPr>
        <w:t>р&lt;0,001)</w:t>
      </w:r>
      <w:bookmarkEnd w:id="213"/>
      <w:r w:rsidRPr="00A11646">
        <w:rPr>
          <w:rFonts w:ascii="Times New Roman" w:hAnsi="Times New Roman"/>
          <w:sz w:val="28"/>
          <w:szCs w:val="28"/>
          <w:lang w:val="uz-Cyrl-UZ"/>
        </w:rPr>
        <w:t>(табл.4.3.2.)</w:t>
      </w:r>
      <w:r w:rsidRPr="00A11646">
        <w:rPr>
          <w:rFonts w:ascii="Times New Roman" w:hAnsi="Times New Roman"/>
          <w:sz w:val="28"/>
          <w:szCs w:val="28"/>
        </w:rPr>
        <w:t xml:space="preserve">. </w:t>
      </w:r>
    </w:p>
    <w:p w:rsidR="00190E3E" w:rsidRPr="00A11646" w:rsidRDefault="00190E3E" w:rsidP="00190E3E">
      <w:pPr>
        <w:spacing w:after="160" w:line="360" w:lineRule="auto"/>
        <w:ind w:firstLine="708"/>
        <w:jc w:val="right"/>
        <w:rPr>
          <w:rFonts w:ascii="Times New Roman" w:hAnsi="Times New Roman"/>
          <w:b/>
          <w:sz w:val="28"/>
          <w:szCs w:val="28"/>
        </w:rPr>
      </w:pPr>
      <w:bookmarkStart w:id="214" w:name="_Hlk20250029"/>
      <w:r w:rsidRPr="00A11646">
        <w:rPr>
          <w:rFonts w:ascii="Times New Roman" w:hAnsi="Times New Roman"/>
          <w:b/>
          <w:sz w:val="28"/>
          <w:szCs w:val="28"/>
        </w:rPr>
        <w:t>Таблица 4.3.2.</w:t>
      </w:r>
    </w:p>
    <w:p w:rsidR="00190E3E" w:rsidRPr="00A11646" w:rsidRDefault="00190E3E" w:rsidP="00190E3E">
      <w:pPr>
        <w:spacing w:after="160" w:line="259" w:lineRule="auto"/>
        <w:jc w:val="center"/>
        <w:rPr>
          <w:rFonts w:ascii="Times New Roman" w:hAnsi="Times New Roman"/>
          <w:b/>
          <w:sz w:val="28"/>
          <w:szCs w:val="28"/>
        </w:rPr>
      </w:pPr>
      <w:r w:rsidRPr="00A11646">
        <w:rPr>
          <w:rFonts w:ascii="Times New Roman" w:hAnsi="Times New Roman"/>
          <w:b/>
          <w:sz w:val="28"/>
          <w:szCs w:val="28"/>
        </w:rPr>
        <w:t xml:space="preserve">Анализ БРВ среди пациентов ММ получивших ПХТ по схеме </w:t>
      </w:r>
      <w:r w:rsidRPr="00A11646">
        <w:rPr>
          <w:rFonts w:ascii="Times New Roman" w:hAnsi="Times New Roman"/>
          <w:b/>
          <w:sz w:val="28"/>
          <w:szCs w:val="28"/>
          <w:lang w:val="en-US"/>
        </w:rPr>
        <w:t>VCD</w:t>
      </w:r>
      <w:r w:rsidRPr="00A11646">
        <w:rPr>
          <w:rFonts w:ascii="Times New Roman" w:hAnsi="Times New Roman"/>
          <w:b/>
          <w:sz w:val="28"/>
          <w:szCs w:val="28"/>
        </w:rPr>
        <w:t xml:space="preserve"> + аутоТГСК, (</w:t>
      </w:r>
      <w:r w:rsidRPr="00A11646">
        <w:rPr>
          <w:rFonts w:ascii="Times New Roman" w:hAnsi="Times New Roman"/>
          <w:b/>
          <w:sz w:val="28"/>
          <w:szCs w:val="28"/>
          <w:lang w:val="en-US"/>
        </w:rPr>
        <w:t>M</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w:t>
      </w:r>
    </w:p>
    <w:tbl>
      <w:tblPr>
        <w:tblW w:w="9259" w:type="dxa"/>
        <w:tblInd w:w="92" w:type="dxa"/>
        <w:tblLook w:val="0000"/>
      </w:tblPr>
      <w:tblGrid>
        <w:gridCol w:w="519"/>
        <w:gridCol w:w="1106"/>
        <w:gridCol w:w="678"/>
        <w:gridCol w:w="1544"/>
        <w:gridCol w:w="936"/>
        <w:gridCol w:w="1428"/>
        <w:gridCol w:w="1015"/>
        <w:gridCol w:w="2033"/>
      </w:tblGrid>
      <w:tr w:rsidR="00A11646" w:rsidRPr="00A11646" w:rsidTr="00A11646">
        <w:trPr>
          <w:trHeight w:val="390"/>
        </w:trPr>
        <w:tc>
          <w:tcPr>
            <w:tcW w:w="17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Вариант Ig</w:t>
            </w:r>
          </w:p>
        </w:tc>
        <w:tc>
          <w:tcPr>
            <w:tcW w:w="7492"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Выживаемость больных ММ</w:t>
            </w:r>
          </w:p>
        </w:tc>
      </w:tr>
      <w:tr w:rsidR="00A11646" w:rsidRPr="00A11646" w:rsidTr="00A11646">
        <w:trPr>
          <w:trHeight w:val="375"/>
        </w:trPr>
        <w:tc>
          <w:tcPr>
            <w:tcW w:w="1767"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7492"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БРВ</w:t>
            </w:r>
          </w:p>
        </w:tc>
      </w:tr>
      <w:tr w:rsidR="00A11646" w:rsidRPr="00A11646" w:rsidTr="00A11646">
        <w:trPr>
          <w:trHeight w:val="375"/>
        </w:trPr>
        <w:tc>
          <w:tcPr>
            <w:tcW w:w="1767"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2281"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12 мес</w:t>
            </w:r>
          </w:p>
        </w:tc>
        <w:tc>
          <w:tcPr>
            <w:tcW w:w="2458"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36 мес</w:t>
            </w:r>
          </w:p>
        </w:tc>
        <w:tc>
          <w:tcPr>
            <w:tcW w:w="2753"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60 мес</w:t>
            </w:r>
          </w:p>
        </w:tc>
      </w:tr>
      <w:tr w:rsidR="00A11646" w:rsidRPr="00A11646" w:rsidTr="00A11646">
        <w:trPr>
          <w:trHeight w:val="375"/>
        </w:trPr>
        <w:tc>
          <w:tcPr>
            <w:tcW w:w="1767"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678"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603"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c>
          <w:tcPr>
            <w:tcW w:w="1068"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390"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c>
          <w:tcPr>
            <w:tcW w:w="1188"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565"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r>
      <w:tr w:rsidR="00A11646" w:rsidRPr="00A11646" w:rsidTr="00A11646">
        <w:trPr>
          <w:trHeight w:val="345"/>
        </w:trPr>
        <w:tc>
          <w:tcPr>
            <w:tcW w:w="551"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en-US" w:eastAsia="ko-KR" w:bidi="pa-IN"/>
              </w:rPr>
              <w:t xml:space="preserve">G </w:t>
            </w:r>
          </w:p>
        </w:tc>
        <w:tc>
          <w:tcPr>
            <w:tcW w:w="121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 (n=7)</w:t>
            </w:r>
          </w:p>
        </w:tc>
        <w:tc>
          <w:tcPr>
            <w:tcW w:w="6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7</w:t>
            </w:r>
          </w:p>
        </w:tc>
        <w:tc>
          <w:tcPr>
            <w:tcW w:w="160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35,0±10,9</w:t>
            </w:r>
          </w:p>
        </w:tc>
        <w:tc>
          <w:tcPr>
            <w:tcW w:w="106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5</w:t>
            </w:r>
          </w:p>
        </w:tc>
        <w:tc>
          <w:tcPr>
            <w:tcW w:w="13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25,0±9,9</w:t>
            </w:r>
          </w:p>
        </w:tc>
        <w:tc>
          <w:tcPr>
            <w:tcW w:w="118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2</w:t>
            </w:r>
          </w:p>
        </w:tc>
        <w:tc>
          <w:tcPr>
            <w:tcW w:w="1565"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r>
      <w:tr w:rsidR="00A11646" w:rsidRPr="00A11646" w:rsidTr="00A11646">
        <w:trPr>
          <w:trHeight w:val="539"/>
        </w:trPr>
        <w:tc>
          <w:tcPr>
            <w:tcW w:w="551"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121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 (n=8)</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8</w:t>
            </w:r>
          </w:p>
        </w:tc>
        <w:tc>
          <w:tcPr>
            <w:tcW w:w="160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40,0±11,2</w:t>
            </w:r>
          </w:p>
        </w:tc>
        <w:tc>
          <w:tcPr>
            <w:tcW w:w="106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7</w:t>
            </w:r>
          </w:p>
        </w:tc>
        <w:tc>
          <w:tcPr>
            <w:tcW w:w="13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35,0±10,9</w:t>
            </w:r>
          </w:p>
        </w:tc>
        <w:tc>
          <w:tcPr>
            <w:tcW w:w="118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565"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10,0±6,9*</w:t>
            </w:r>
            <w:r w:rsidRPr="00A11646">
              <w:rPr>
                <w:rFonts w:ascii="Times New Roman" w:eastAsia="Batang" w:hAnsi="Times New Roman"/>
                <w:sz w:val="28"/>
                <w:szCs w:val="28"/>
                <w:lang w:val="en-US" w:eastAsia="ko-KR" w:bidi="pa-IN"/>
              </w:rPr>
              <w:t>^</w:t>
            </w:r>
          </w:p>
        </w:tc>
      </w:tr>
      <w:tr w:rsidR="00A11646" w:rsidRPr="00A11646" w:rsidTr="00A11646">
        <w:trPr>
          <w:trHeight w:val="750"/>
        </w:trPr>
        <w:tc>
          <w:tcPr>
            <w:tcW w:w="551"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w:t>
            </w:r>
          </w:p>
        </w:tc>
        <w:tc>
          <w:tcPr>
            <w:tcW w:w="121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 (n=1)</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w:t>
            </w:r>
          </w:p>
        </w:tc>
        <w:tc>
          <w:tcPr>
            <w:tcW w:w="160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bookmarkStart w:id="215" w:name="_Hlk6520477"/>
            <w:r w:rsidRPr="00A11646">
              <w:rPr>
                <w:rFonts w:ascii="Times New Roman" w:eastAsia="Batang" w:hAnsi="Times New Roman"/>
                <w:sz w:val="28"/>
                <w:szCs w:val="28"/>
                <w:lang w:eastAsia="ko-KR" w:bidi="pa-IN"/>
              </w:rPr>
              <w:t>5,0±5,0</w:t>
            </w:r>
            <w:r w:rsidRPr="00A11646">
              <w:rPr>
                <w:rFonts w:ascii="Times New Roman" w:eastAsia="Batang" w:hAnsi="Times New Roman"/>
                <w:sz w:val="28"/>
                <w:szCs w:val="28"/>
                <w:lang w:val="en-US" w:eastAsia="ko-KR" w:bidi="pa-IN"/>
              </w:rPr>
              <w:t>&amp;</w:t>
            </w:r>
            <w:bookmarkEnd w:id="215"/>
          </w:p>
        </w:tc>
        <w:tc>
          <w:tcPr>
            <w:tcW w:w="106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w:t>
            </w:r>
          </w:p>
        </w:tc>
        <w:tc>
          <w:tcPr>
            <w:tcW w:w="13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 -</w:t>
            </w:r>
          </w:p>
        </w:tc>
        <w:tc>
          <w:tcPr>
            <w:tcW w:w="118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w:t>
            </w:r>
          </w:p>
        </w:tc>
        <w:tc>
          <w:tcPr>
            <w:tcW w:w="1565"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 -</w:t>
            </w:r>
          </w:p>
        </w:tc>
      </w:tr>
      <w:tr w:rsidR="00A11646" w:rsidRPr="00A11646" w:rsidTr="00A11646">
        <w:trPr>
          <w:trHeight w:val="414"/>
        </w:trPr>
        <w:tc>
          <w:tcPr>
            <w:tcW w:w="551"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1216"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 (n=2)</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60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16" w:name="_Hlk6520548"/>
            <w:r w:rsidRPr="00A11646">
              <w:rPr>
                <w:rFonts w:ascii="Times New Roman" w:eastAsia="Batang" w:hAnsi="Times New Roman"/>
                <w:sz w:val="28"/>
                <w:szCs w:val="28"/>
                <w:lang w:eastAsia="ko-KR" w:bidi="pa-IN"/>
              </w:rPr>
              <w:t>10,0±6,9</w:t>
            </w:r>
            <w:r w:rsidRPr="00A11646">
              <w:rPr>
                <w:rFonts w:ascii="Times New Roman" w:eastAsia="Batang" w:hAnsi="Times New Roman"/>
                <w:sz w:val="28"/>
                <w:szCs w:val="28"/>
                <w:lang w:val="en-US" w:eastAsia="ko-KR" w:bidi="pa-IN"/>
              </w:rPr>
              <w:t>&amp;</w:t>
            </w:r>
            <w:bookmarkEnd w:id="216"/>
          </w:p>
        </w:tc>
        <w:tc>
          <w:tcPr>
            <w:tcW w:w="106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3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10,0±6,9</w:t>
            </w:r>
            <w:r w:rsidRPr="00A11646">
              <w:rPr>
                <w:rFonts w:ascii="Times New Roman" w:eastAsia="Batang" w:hAnsi="Times New Roman"/>
                <w:sz w:val="28"/>
                <w:szCs w:val="28"/>
                <w:lang w:val="en-US" w:eastAsia="ko-KR" w:bidi="pa-IN"/>
              </w:rPr>
              <w:t>&amp;</w:t>
            </w:r>
          </w:p>
        </w:tc>
        <w:tc>
          <w:tcPr>
            <w:tcW w:w="118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w:t>
            </w:r>
          </w:p>
        </w:tc>
        <w:tc>
          <w:tcPr>
            <w:tcW w:w="1565"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5,0±5,0</w:t>
            </w:r>
          </w:p>
        </w:tc>
      </w:tr>
      <w:tr w:rsidR="00A11646" w:rsidRPr="00A11646" w:rsidTr="00A11646">
        <w:trPr>
          <w:trHeight w:val="622"/>
        </w:trPr>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Редкие варианты (n=2)</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60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c>
          <w:tcPr>
            <w:tcW w:w="106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3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c>
          <w:tcPr>
            <w:tcW w:w="118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565"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r>
      <w:tr w:rsidR="00A11646" w:rsidRPr="00A11646" w:rsidTr="00A11646">
        <w:trPr>
          <w:trHeight w:val="375"/>
        </w:trPr>
        <w:tc>
          <w:tcPr>
            <w:tcW w:w="176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Всего (n=20)</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20</w:t>
            </w:r>
          </w:p>
        </w:tc>
        <w:tc>
          <w:tcPr>
            <w:tcW w:w="160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w:t>
            </w:r>
          </w:p>
        </w:tc>
        <w:tc>
          <w:tcPr>
            <w:tcW w:w="106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16</w:t>
            </w:r>
          </w:p>
        </w:tc>
        <w:tc>
          <w:tcPr>
            <w:tcW w:w="139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17" w:name="_Hlk6520077"/>
            <w:r w:rsidRPr="00A11646">
              <w:rPr>
                <w:rFonts w:ascii="Times New Roman" w:eastAsia="Batang" w:hAnsi="Times New Roman"/>
                <w:sz w:val="28"/>
                <w:szCs w:val="28"/>
                <w:lang w:eastAsia="ko-KR" w:bidi="pa-IN"/>
              </w:rPr>
              <w:t>80,0±9,2*</w:t>
            </w:r>
            <w:bookmarkEnd w:id="217"/>
          </w:p>
        </w:tc>
        <w:tc>
          <w:tcPr>
            <w:tcW w:w="118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7</w:t>
            </w:r>
          </w:p>
        </w:tc>
        <w:tc>
          <w:tcPr>
            <w:tcW w:w="1565"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bookmarkStart w:id="218" w:name="_Hlk6520144"/>
            <w:r w:rsidRPr="00A11646">
              <w:rPr>
                <w:rFonts w:ascii="Times New Roman" w:eastAsia="Batang" w:hAnsi="Times New Roman"/>
                <w:sz w:val="28"/>
                <w:szCs w:val="28"/>
                <w:lang w:eastAsia="ko-KR" w:bidi="pa-IN"/>
              </w:rPr>
              <w:t>35,0±10,9***</w:t>
            </w:r>
            <w:r w:rsidRPr="00A11646">
              <w:rPr>
                <w:rFonts w:ascii="Times New Roman" w:eastAsia="Batang" w:hAnsi="Times New Roman"/>
                <w:sz w:val="28"/>
                <w:szCs w:val="28"/>
                <w:lang w:val="en-US" w:eastAsia="ko-KR" w:bidi="pa-IN"/>
              </w:rPr>
              <w:t>^^</w:t>
            </w:r>
            <w:bookmarkEnd w:id="218"/>
          </w:p>
        </w:tc>
      </w:tr>
    </w:tbl>
    <w:p w:rsidR="00190E3E" w:rsidRPr="00A11646" w:rsidRDefault="00190E3E" w:rsidP="00190E3E">
      <w:pPr>
        <w:spacing w:after="0" w:line="360" w:lineRule="auto"/>
        <w:ind w:firstLine="900"/>
        <w:jc w:val="both"/>
        <w:rPr>
          <w:rFonts w:ascii="Times New Roman" w:eastAsia="Times New Roman" w:hAnsi="Times New Roman"/>
          <w:sz w:val="28"/>
          <w:szCs w:val="28"/>
        </w:rPr>
      </w:pPr>
      <w:r w:rsidRPr="00A11646">
        <w:rPr>
          <w:rFonts w:ascii="Times New Roman" w:eastAsia="Times New Roman" w:hAnsi="Times New Roman"/>
          <w:sz w:val="28"/>
          <w:szCs w:val="28"/>
        </w:rPr>
        <w:t>Примечание: *- достоверно по сравнению с показателями до 12 мес.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 xml:space="preserve">^ </w:t>
      </w:r>
      <w:r w:rsidRPr="00A11646">
        <w:rPr>
          <w:rFonts w:ascii="Times New Roman" w:eastAsia="Times New Roman" w:hAnsi="Times New Roman"/>
          <w:sz w:val="28"/>
          <w:szCs w:val="28"/>
        </w:rPr>
        <w:t>- достоверно по сравнению с показателями до 36 мес.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&lt;0,05;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&lt;0,01;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&amp;</w:t>
      </w:r>
      <w:r w:rsidRPr="00A11646">
        <w:rPr>
          <w:rFonts w:ascii="Times New Roman" w:eastAsia="Times New Roman" w:hAnsi="Times New Roman"/>
          <w:sz w:val="28"/>
          <w:szCs w:val="28"/>
        </w:rPr>
        <w:t xml:space="preserve">- достоверно по сравнению с показателями </w:t>
      </w:r>
      <w:r w:rsidRPr="00A11646">
        <w:rPr>
          <w:rFonts w:ascii="Times New Roman" w:eastAsia="Batang" w:hAnsi="Times New Roman"/>
          <w:sz w:val="28"/>
          <w:szCs w:val="28"/>
          <w:lang w:val="en-US" w:eastAsia="ko-KR" w:bidi="pa-IN"/>
        </w:rPr>
        <w:t>G</w:t>
      </w:r>
      <w:r w:rsidRPr="00A11646">
        <w:rPr>
          <w:rFonts w:ascii="Times New Roman" w:eastAsia="Times New Roman" w:hAnsi="Times New Roman"/>
          <w:sz w:val="28"/>
          <w:szCs w:val="28"/>
        </w:rPr>
        <w:t xml:space="preserve"> (&amp;-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&amp;&amp;-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&amp;&amp;&amp;</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&lt;0,001).</w:t>
      </w:r>
    </w:p>
    <w:p w:rsidR="00190E3E" w:rsidRPr="00A11646" w:rsidRDefault="00190E3E" w:rsidP="00190E3E">
      <w:pPr>
        <w:pStyle w:val="a3"/>
        <w:spacing w:line="360" w:lineRule="auto"/>
        <w:ind w:firstLine="709"/>
        <w:jc w:val="both"/>
        <w:rPr>
          <w:color w:val="auto"/>
        </w:rPr>
      </w:pPr>
      <w:bookmarkStart w:id="219" w:name="_Hlk7277947"/>
      <w:bookmarkEnd w:id="214"/>
      <w:r w:rsidRPr="00A11646">
        <w:rPr>
          <w:color w:val="auto"/>
        </w:rPr>
        <w:t xml:space="preserve">БРВ при </w:t>
      </w:r>
      <w:r w:rsidRPr="00A11646">
        <w:rPr>
          <w:color w:val="auto"/>
          <w:lang w:val="en-US"/>
        </w:rPr>
        <w:t>IgG</w:t>
      </w:r>
      <w:r w:rsidRPr="00A11646">
        <w:rPr>
          <w:rFonts w:eastAsia="Batang"/>
          <w:color w:val="auto"/>
          <w:lang w:eastAsia="ko-KR" w:bidi="pa-IN"/>
        </w:rPr>
        <w:t>κ составила (n=7)</w:t>
      </w:r>
      <w:r w:rsidRPr="00A11646">
        <w:rPr>
          <w:color w:val="auto"/>
        </w:rPr>
        <w:t xml:space="preserve"> БРВ до 12 месяцев зарегистрирована у 7 больных (35,0±10,9</w:t>
      </w:r>
      <w:r w:rsidRPr="00A11646">
        <w:rPr>
          <w:rFonts w:eastAsia="Batang"/>
          <w:color w:val="auto"/>
          <w:lang w:eastAsia="ko-KR" w:bidi="pa-IN"/>
        </w:rPr>
        <w:t xml:space="preserve">%; р&gt;0,05), до 36 месяцев -  у 5 (25,0±9,9%; р&gt;0,05) и </w:t>
      </w:r>
      <w:r w:rsidRPr="00A11646">
        <w:rPr>
          <w:color w:val="auto"/>
        </w:rPr>
        <w:t>до 60 месяцев и более - у 2 (</w:t>
      </w:r>
      <w:r w:rsidRPr="00A11646">
        <w:rPr>
          <w:rFonts w:eastAsia="Batang"/>
          <w:color w:val="auto"/>
          <w:lang w:eastAsia="ko-KR" w:bidi="pa-IN"/>
        </w:rPr>
        <w:t>10,0±6,9</w:t>
      </w:r>
      <w:r w:rsidRPr="00A11646">
        <w:rPr>
          <w:color w:val="auto"/>
        </w:rPr>
        <w:t xml:space="preserve">%; </w:t>
      </w:r>
      <w:r w:rsidRPr="00A11646">
        <w:rPr>
          <w:rFonts w:eastAsia="Batang"/>
          <w:color w:val="auto"/>
          <w:lang w:eastAsia="ko-KR" w:bidi="pa-IN"/>
        </w:rPr>
        <w:t xml:space="preserve">р&lt;0,05); при </w:t>
      </w:r>
      <w:r w:rsidRPr="00A11646">
        <w:rPr>
          <w:color w:val="auto"/>
          <w:lang w:val="en-US" w:eastAsia="ru-RU"/>
        </w:rPr>
        <w:t>IgG</w:t>
      </w:r>
      <w:r w:rsidRPr="00A11646">
        <w:rPr>
          <w:color w:val="auto"/>
          <w:lang w:eastAsia="ru-RU"/>
        </w:rPr>
        <w:t>λ</w:t>
      </w:r>
      <w:r w:rsidRPr="00A11646">
        <w:rPr>
          <w:color w:val="auto"/>
        </w:rPr>
        <w:t xml:space="preserve"> БРВ до 12 месяцев зарегистрирована у 8 больных (40,0±11,2</w:t>
      </w:r>
      <w:r w:rsidRPr="00A11646">
        <w:rPr>
          <w:rFonts w:eastAsia="Batang"/>
          <w:color w:val="auto"/>
          <w:lang w:eastAsia="ko-KR" w:bidi="pa-IN"/>
        </w:rPr>
        <w:t xml:space="preserve">%; р&gt;0,05), до 36 месяцев -  у 7 (35,0±10,9; р&gt;0,05) и </w:t>
      </w:r>
      <w:r w:rsidRPr="00A11646">
        <w:rPr>
          <w:color w:val="auto"/>
        </w:rPr>
        <w:t xml:space="preserve">до 60 месяцев и более - у  2 (10,0±6,9%; р&lt;0,05); </w:t>
      </w:r>
      <w:r w:rsidRPr="00A11646">
        <w:rPr>
          <w:color w:val="auto"/>
        </w:rPr>
        <w:lastRenderedPageBreak/>
        <w:t xml:space="preserve">при </w:t>
      </w:r>
      <w:r w:rsidRPr="00A11646">
        <w:rPr>
          <w:color w:val="auto"/>
          <w:lang w:val="en-US"/>
        </w:rPr>
        <w:t>Ig</w:t>
      </w:r>
      <w:r w:rsidRPr="00A11646">
        <w:rPr>
          <w:color w:val="auto"/>
          <w:lang w:val="uz-Cyrl-UZ"/>
        </w:rPr>
        <w:t>А</w:t>
      </w:r>
      <w:r w:rsidRPr="00A11646">
        <w:rPr>
          <w:color w:val="auto"/>
          <w:lang w:eastAsia="ru-RU"/>
        </w:rPr>
        <w:t>κ</w:t>
      </w:r>
      <w:r w:rsidRPr="00A11646">
        <w:rPr>
          <w:color w:val="auto"/>
        </w:rPr>
        <w:t xml:space="preserve"> (n=1) </w:t>
      </w:r>
      <w:r w:rsidRPr="00A11646">
        <w:rPr>
          <w:color w:val="auto"/>
          <w:lang w:eastAsia="ru-RU"/>
        </w:rPr>
        <w:t xml:space="preserve">БРВ до 12 месяцев зарегистрирована у 1 больных (5,0±5,0; р&lt;0,05), БРВ до 36 месяцев, а также   до 60 месяцев и более – не зарегистрировано ни у одного больного; при </w:t>
      </w:r>
      <w:r w:rsidRPr="00A11646">
        <w:rPr>
          <w:color w:val="auto"/>
          <w:lang w:val="en-US" w:eastAsia="ru-RU"/>
        </w:rPr>
        <w:t>IgA</w:t>
      </w:r>
      <w:r w:rsidRPr="00A11646">
        <w:rPr>
          <w:color w:val="auto"/>
          <w:lang w:eastAsia="ru-RU"/>
        </w:rPr>
        <w:t xml:space="preserve">λ (n=2) БРВ до 12 месяцев зарегистрирована у </w:t>
      </w:r>
      <w:bookmarkStart w:id="220" w:name="_Hlk6520735"/>
      <w:r w:rsidRPr="00A11646">
        <w:rPr>
          <w:color w:val="auto"/>
          <w:lang w:eastAsia="ru-RU"/>
        </w:rPr>
        <w:t xml:space="preserve">2 больных (10,0±6,9; р&lt;0,05), </w:t>
      </w:r>
      <w:bookmarkEnd w:id="220"/>
      <w:r w:rsidRPr="00A11646">
        <w:rPr>
          <w:color w:val="auto"/>
          <w:lang w:eastAsia="ru-RU"/>
        </w:rPr>
        <w:t>БРВ до 36 месяцев – у 2 (10,0±6,9%; р&lt;0,05),  БРВ до 60 месяцев и более – у 1 (5,0±5,0; р&gt;0,05);  при редких вариантах  (n=2) БРВ до 12 месяцев зарегистрирована у 2 больных (10,0±6,9; р&lt;0,05), до 36 месяцев -  у 2 больных (10,0±6,9; р&lt;0,05), а  БРВ до 60 месяцев и более – 2 больных (10,0±6,9; р&lt;0,05).</w:t>
      </w:r>
    </w:p>
    <w:p w:rsidR="00190E3E" w:rsidRPr="00A11646" w:rsidRDefault="00190E3E" w:rsidP="00190E3E">
      <w:pPr>
        <w:pStyle w:val="a3"/>
        <w:spacing w:line="360" w:lineRule="auto"/>
        <w:ind w:firstLine="709"/>
        <w:jc w:val="both"/>
        <w:rPr>
          <w:color w:val="auto"/>
        </w:rPr>
      </w:pPr>
      <w:r w:rsidRPr="00A11646">
        <w:rPr>
          <w:color w:val="auto"/>
        </w:rPr>
        <w:t xml:space="preserve">Вышеприведенные данные показывают, что БРВ среди больных «Б» подгруппы до 12 месяцев при всех изученных вариантах составляла 100,0% больных; до 36 месяцев при варианте IgGκ (n=7) у 2 (28,6%), </w:t>
      </w:r>
      <w:r w:rsidRPr="00A11646">
        <w:rPr>
          <w:rFonts w:eastAsia="Batang"/>
          <w:color w:val="auto"/>
          <w:lang w:eastAsia="ko-KR" w:bidi="pa-IN"/>
        </w:rPr>
        <w:t xml:space="preserve">при варианте </w:t>
      </w:r>
      <w:r w:rsidRPr="00A11646">
        <w:rPr>
          <w:color w:val="auto"/>
          <w:lang w:val="en-US" w:eastAsia="ru-RU"/>
        </w:rPr>
        <w:t>IgG</w:t>
      </w:r>
      <w:r w:rsidRPr="00A11646">
        <w:rPr>
          <w:color w:val="auto"/>
          <w:lang w:eastAsia="ru-RU"/>
        </w:rPr>
        <w:t>λ (n=8) у 2 (25,5%), при IgАκ</w:t>
      </w:r>
      <w:r w:rsidR="00B97471">
        <w:rPr>
          <w:color w:val="auto"/>
          <w:lang w:val="uz-Cyrl-UZ" w:eastAsia="ru-RU"/>
        </w:rPr>
        <w:t xml:space="preserve"> </w:t>
      </w:r>
      <w:r w:rsidRPr="00A11646">
        <w:rPr>
          <w:color w:val="auto"/>
        </w:rPr>
        <w:t xml:space="preserve">(n=1) </w:t>
      </w:r>
      <w:r w:rsidRPr="00A11646">
        <w:rPr>
          <w:color w:val="auto"/>
          <w:lang w:eastAsia="ru-RU"/>
        </w:rPr>
        <w:t>– не регистрировалось, при IgAλ</w:t>
      </w:r>
      <w:r w:rsidRPr="00A11646">
        <w:rPr>
          <w:color w:val="auto"/>
        </w:rPr>
        <w:t>(n=2) у  2(100,0%), при редких формах (n=2) у 2 (100,0%); до 60 и более при варианте IgGκ (n=7) у 5 (71,4%), при варианте IgGλ (n=8) у 7 (87,5%), при IgАκ  (n=1) – не регистрировалось, при IgAλ (n=2) у 2 (100,0%), при редких формах (n=2) у 2 больных (100,0%)</w:t>
      </w:r>
      <w:r w:rsidRPr="00A11646">
        <w:rPr>
          <w:color w:val="auto"/>
          <w:lang w:eastAsia="ru-RU"/>
        </w:rPr>
        <w:t>(рис. 4.3.2.)</w:t>
      </w:r>
      <w:r w:rsidRPr="00A11646">
        <w:rPr>
          <w:color w:val="auto"/>
        </w:rPr>
        <w:t>.</w:t>
      </w:r>
    </w:p>
    <w:bookmarkEnd w:id="219"/>
    <w:p w:rsidR="00190E3E" w:rsidRPr="00A11646" w:rsidRDefault="00190E3E" w:rsidP="00190E3E">
      <w:pPr>
        <w:spacing w:after="0" w:line="360" w:lineRule="auto"/>
        <w:ind w:left="708" w:firstLine="192"/>
        <w:jc w:val="both"/>
        <w:rPr>
          <w:rFonts w:ascii="Times New Roman" w:hAnsi="Times New Roman"/>
          <w:sz w:val="28"/>
          <w:szCs w:val="28"/>
        </w:rPr>
      </w:pPr>
    </w:p>
    <w:p w:rsidR="00190E3E" w:rsidRPr="00A11646" w:rsidRDefault="00190E3E" w:rsidP="00190E3E">
      <w:pPr>
        <w:spacing w:after="160" w:line="360" w:lineRule="auto"/>
        <w:ind w:firstLine="708"/>
        <w:jc w:val="both"/>
        <w:rPr>
          <w:rFonts w:ascii="Times New Roman" w:hAnsi="Times New Roman"/>
          <w:b/>
          <w:sz w:val="28"/>
          <w:szCs w:val="28"/>
        </w:rPr>
      </w:pPr>
      <w:r w:rsidRPr="00A11646">
        <w:rPr>
          <w:rFonts w:ascii="Times New Roman" w:hAnsi="Times New Roman"/>
          <w:b/>
          <w:sz w:val="28"/>
          <w:szCs w:val="28"/>
        </w:rPr>
        <w:t xml:space="preserve"> Рис.4.3.2. БРВ у больных ММ «</w:t>
      </w:r>
      <w:r w:rsidR="00E62092">
        <w:rPr>
          <w:rFonts w:ascii="Times New Roman" w:hAnsi="Times New Roman"/>
          <w:b/>
          <w:sz w:val="28"/>
          <w:szCs w:val="28"/>
          <w:lang w:val="uz-Cyrl-UZ"/>
        </w:rPr>
        <w:t>Б</w:t>
      </w:r>
      <w:r w:rsidRPr="00A11646">
        <w:rPr>
          <w:rFonts w:ascii="Times New Roman" w:hAnsi="Times New Roman"/>
          <w:b/>
          <w:sz w:val="28"/>
          <w:szCs w:val="28"/>
        </w:rPr>
        <w:t>» подгруппы в зависимости от иммунохимического варианта.</w:t>
      </w:r>
      <w:r w:rsidR="00E62092" w:rsidRPr="00E62092">
        <w:rPr>
          <w:rFonts w:ascii="Times New Roman" w:eastAsia="Times New Roman" w:hAnsi="Times New Roman"/>
          <w:b/>
          <w:noProof/>
          <w:sz w:val="28"/>
          <w:szCs w:val="28"/>
        </w:rPr>
        <w:t xml:space="preserve"> </w:t>
      </w:r>
      <w:r w:rsidR="00E62092" w:rsidRPr="00A11646">
        <w:rPr>
          <w:rFonts w:ascii="Times New Roman" w:eastAsia="Times New Roman" w:hAnsi="Times New Roman"/>
          <w:b/>
          <w:noProof/>
          <w:sz w:val="28"/>
          <w:szCs w:val="28"/>
        </w:rPr>
        <w:drawing>
          <wp:inline distT="0" distB="0" distL="0" distR="0">
            <wp:extent cx="5489244" cy="3248168"/>
            <wp:effectExtent l="19050" t="0" r="16206" b="9382"/>
            <wp:docPr id="1"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lastRenderedPageBreak/>
        <w:t>Таким образом, сравнительная оценка БРВ среди больных «А» и «Б» подгрупп показала, что в среднем БРВ до 12 месяцев, до 36 месяцев, а также до60 и более месяцев в «Б» подгруппе по отношению к «А» подгруппе превышала в 1,38; в 4,7 и 7,6 раз.</w:t>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t>БРВ в подгруппе «Б»   в зависимости от иммунохимического варианта превысила таковую в подгруппе «А»  до 12 месяцев:  при IgGκ</w:t>
      </w:r>
      <w:r w:rsidR="00E62092">
        <w:rPr>
          <w:rFonts w:ascii="Times New Roman" w:hAnsi="Times New Roman"/>
          <w:sz w:val="28"/>
          <w:szCs w:val="28"/>
          <w:lang w:val="uz-Cyrl-UZ"/>
        </w:rPr>
        <w:t xml:space="preserve"> </w:t>
      </w:r>
      <w:r w:rsidRPr="00A11646">
        <w:rPr>
          <w:rFonts w:ascii="Times New Roman" w:hAnsi="Times New Roman"/>
          <w:sz w:val="28"/>
          <w:szCs w:val="28"/>
        </w:rPr>
        <w:t>в 1,25, при варианте IgGλ</w:t>
      </w:r>
      <w:r w:rsidR="00E62092">
        <w:rPr>
          <w:rFonts w:ascii="Times New Roman" w:hAnsi="Times New Roman"/>
          <w:sz w:val="28"/>
          <w:szCs w:val="28"/>
          <w:lang w:val="uz-Cyrl-UZ"/>
        </w:rPr>
        <w:t xml:space="preserve"> </w:t>
      </w:r>
      <w:r w:rsidRPr="00A11646">
        <w:rPr>
          <w:rFonts w:ascii="Times New Roman" w:hAnsi="Times New Roman"/>
          <w:sz w:val="28"/>
          <w:szCs w:val="28"/>
        </w:rPr>
        <w:t>в 1,5, при IgАκ</w:t>
      </w:r>
      <w:r w:rsidR="00E62092">
        <w:rPr>
          <w:rFonts w:ascii="Times New Roman" w:hAnsi="Times New Roman"/>
          <w:sz w:val="28"/>
          <w:szCs w:val="28"/>
          <w:lang w:val="uz-Cyrl-UZ"/>
        </w:rPr>
        <w:t xml:space="preserve"> </w:t>
      </w:r>
      <w:r w:rsidRPr="00A11646">
        <w:rPr>
          <w:rFonts w:ascii="Times New Roman" w:hAnsi="Times New Roman"/>
          <w:sz w:val="28"/>
          <w:szCs w:val="28"/>
        </w:rPr>
        <w:t>в 1,25, при IgAλ</w:t>
      </w:r>
      <w:r w:rsidR="00E62092">
        <w:rPr>
          <w:rFonts w:ascii="Times New Roman" w:hAnsi="Times New Roman"/>
          <w:sz w:val="28"/>
          <w:szCs w:val="28"/>
          <w:lang w:val="uz-Cyrl-UZ"/>
        </w:rPr>
        <w:t xml:space="preserve"> </w:t>
      </w:r>
      <w:r w:rsidRPr="00A11646">
        <w:rPr>
          <w:rFonts w:ascii="Times New Roman" w:hAnsi="Times New Roman"/>
          <w:sz w:val="28"/>
          <w:szCs w:val="28"/>
        </w:rPr>
        <w:t>в 2,0, при редких формах в 1,4 раза; до 36 месяцев: при IgGκ</w:t>
      </w:r>
      <w:r w:rsidR="00E62092">
        <w:rPr>
          <w:rFonts w:ascii="Times New Roman" w:hAnsi="Times New Roman"/>
          <w:sz w:val="28"/>
          <w:szCs w:val="28"/>
          <w:lang w:val="uz-Cyrl-UZ"/>
        </w:rPr>
        <w:t xml:space="preserve"> </w:t>
      </w:r>
      <w:r w:rsidRPr="00A11646">
        <w:rPr>
          <w:rFonts w:ascii="Times New Roman" w:hAnsi="Times New Roman"/>
          <w:sz w:val="28"/>
          <w:szCs w:val="28"/>
        </w:rPr>
        <w:t>в 2,3, при варианте IgGλ</w:t>
      </w:r>
      <w:r w:rsidR="00E62092">
        <w:rPr>
          <w:rFonts w:ascii="Times New Roman" w:hAnsi="Times New Roman"/>
          <w:sz w:val="28"/>
          <w:szCs w:val="28"/>
          <w:lang w:val="uz-Cyrl-UZ"/>
        </w:rPr>
        <w:t xml:space="preserve"> </w:t>
      </w:r>
      <w:r w:rsidRPr="00A11646">
        <w:rPr>
          <w:rFonts w:ascii="Times New Roman" w:hAnsi="Times New Roman"/>
          <w:sz w:val="28"/>
          <w:szCs w:val="28"/>
        </w:rPr>
        <w:t>в 2,04. При IgАκ,</w:t>
      </w:r>
      <w:r w:rsidR="00E62092">
        <w:rPr>
          <w:rFonts w:ascii="Times New Roman" w:hAnsi="Times New Roman"/>
          <w:sz w:val="28"/>
          <w:szCs w:val="28"/>
          <w:lang w:val="uz-Cyrl-UZ"/>
        </w:rPr>
        <w:t xml:space="preserve"> </w:t>
      </w:r>
      <w:r w:rsidRPr="00A11646">
        <w:rPr>
          <w:rFonts w:ascii="Times New Roman" w:hAnsi="Times New Roman"/>
          <w:sz w:val="28"/>
          <w:szCs w:val="28"/>
        </w:rPr>
        <w:t>IgAλ</w:t>
      </w:r>
      <w:r w:rsidR="00E62092">
        <w:rPr>
          <w:rFonts w:ascii="Times New Roman" w:hAnsi="Times New Roman"/>
          <w:sz w:val="28"/>
          <w:szCs w:val="28"/>
          <w:lang w:val="uz-Cyrl-UZ"/>
        </w:rPr>
        <w:t xml:space="preserve"> </w:t>
      </w:r>
      <w:r w:rsidRPr="00A11646">
        <w:rPr>
          <w:rFonts w:ascii="Times New Roman" w:hAnsi="Times New Roman"/>
          <w:sz w:val="28"/>
          <w:szCs w:val="28"/>
        </w:rPr>
        <w:t>и редких вариантах ММ БРВ наблюдалась в 100% случаях; до 60 месяцев и более: при IgGκ   в 1,7, при варианте IgGλ в 7,0. При IgАκ, IgAλ</w:t>
      </w:r>
      <w:r w:rsidR="00E62092">
        <w:rPr>
          <w:rFonts w:ascii="Times New Roman" w:hAnsi="Times New Roman"/>
          <w:sz w:val="28"/>
          <w:szCs w:val="28"/>
          <w:lang w:val="uz-Cyrl-UZ"/>
        </w:rPr>
        <w:t xml:space="preserve"> </w:t>
      </w:r>
      <w:r w:rsidRPr="00A11646">
        <w:rPr>
          <w:rFonts w:ascii="Times New Roman" w:hAnsi="Times New Roman"/>
          <w:sz w:val="28"/>
          <w:szCs w:val="28"/>
        </w:rPr>
        <w:t>и редких вариантах БРВ наблюдалась также в 100% случаях.</w:t>
      </w:r>
    </w:p>
    <w:p w:rsidR="00190E3E" w:rsidRPr="00A11646" w:rsidRDefault="00190E3E" w:rsidP="00190E3E">
      <w:pPr>
        <w:spacing w:after="160" w:line="360" w:lineRule="auto"/>
        <w:ind w:firstLine="708"/>
        <w:jc w:val="both"/>
        <w:rPr>
          <w:rFonts w:ascii="Times New Roman" w:hAnsi="Times New Roman"/>
          <w:sz w:val="28"/>
          <w:szCs w:val="28"/>
        </w:rPr>
      </w:pPr>
      <w:bookmarkStart w:id="221" w:name="_Hlk7277990"/>
      <w:r w:rsidRPr="00A11646">
        <w:rPr>
          <w:rFonts w:ascii="Times New Roman" w:hAnsi="Times New Roman"/>
          <w:sz w:val="28"/>
          <w:szCs w:val="28"/>
        </w:rPr>
        <w:t>Далее нами проведен анализ ОВ в обеих исследуемых подгруппах «А» и «Б» больных ММ после проведенного лечения.</w:t>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t>В</w:t>
      </w:r>
      <w:r w:rsidR="00E62092">
        <w:rPr>
          <w:rFonts w:ascii="Times New Roman" w:hAnsi="Times New Roman"/>
          <w:sz w:val="28"/>
          <w:szCs w:val="28"/>
          <w:lang w:val="uz-Cyrl-UZ"/>
        </w:rPr>
        <w:t xml:space="preserve"> </w:t>
      </w:r>
      <w:r w:rsidRPr="00A11646">
        <w:rPr>
          <w:rFonts w:ascii="Times New Roman" w:hAnsi="Times New Roman"/>
          <w:sz w:val="28"/>
          <w:szCs w:val="28"/>
        </w:rPr>
        <w:t xml:space="preserve">«А» подгруппе больных ММ получавшие только ПХТ по протоколу </w:t>
      </w:r>
      <w:r w:rsidRPr="00A11646">
        <w:rPr>
          <w:rFonts w:ascii="Times New Roman" w:hAnsi="Times New Roman"/>
          <w:sz w:val="28"/>
          <w:szCs w:val="28"/>
          <w:lang w:val="en-US"/>
        </w:rPr>
        <w:t>VCD</w:t>
      </w:r>
      <w:r w:rsidRPr="00A11646">
        <w:rPr>
          <w:rFonts w:ascii="Times New Roman" w:hAnsi="Times New Roman"/>
          <w:sz w:val="28"/>
          <w:szCs w:val="28"/>
        </w:rPr>
        <w:t xml:space="preserve"> (4 курса) ( n=87)</w:t>
      </w:r>
      <w:r w:rsidR="00E62092">
        <w:rPr>
          <w:rFonts w:ascii="Times New Roman" w:hAnsi="Times New Roman"/>
          <w:sz w:val="28"/>
          <w:szCs w:val="28"/>
          <w:lang w:val="uz-Cyrl-UZ"/>
        </w:rPr>
        <w:t xml:space="preserve"> </w:t>
      </w:r>
      <w:r w:rsidRPr="00A11646">
        <w:rPr>
          <w:rFonts w:ascii="Times New Roman" w:hAnsi="Times New Roman"/>
          <w:sz w:val="28"/>
          <w:szCs w:val="28"/>
        </w:rPr>
        <w:t>выявлено следующее:</w:t>
      </w:r>
      <w:r w:rsidR="00876211">
        <w:rPr>
          <w:rFonts w:ascii="Times New Roman" w:hAnsi="Times New Roman"/>
          <w:sz w:val="28"/>
          <w:szCs w:val="28"/>
          <w:lang w:val="uz-Cyrl-UZ"/>
        </w:rPr>
        <w:t xml:space="preserve"> </w:t>
      </w:r>
      <w:r w:rsidRPr="00A11646">
        <w:rPr>
          <w:rFonts w:ascii="Times New Roman" w:hAnsi="Times New Roman"/>
          <w:sz w:val="28"/>
          <w:szCs w:val="28"/>
        </w:rPr>
        <w:t>ОВ до 12 месяцев</w:t>
      </w:r>
      <w:r w:rsidR="004E1387">
        <w:rPr>
          <w:rFonts w:ascii="Times New Roman" w:hAnsi="Times New Roman"/>
          <w:sz w:val="28"/>
          <w:szCs w:val="28"/>
          <w:lang w:val="uz-Cyrl-UZ"/>
        </w:rPr>
        <w:t xml:space="preserve"> </w:t>
      </w:r>
      <w:r w:rsidRPr="00A11646">
        <w:rPr>
          <w:rFonts w:ascii="Times New Roman" w:hAnsi="Times New Roman"/>
          <w:sz w:val="28"/>
          <w:szCs w:val="28"/>
        </w:rPr>
        <w:t>зарегистрирована у 82 больных (94,3±2,5</w:t>
      </w:r>
      <w:r w:rsidRPr="00A11646">
        <w:rPr>
          <w:rFonts w:ascii="Times New Roman" w:eastAsia="Batang" w:hAnsi="Times New Roman"/>
          <w:sz w:val="28"/>
          <w:szCs w:val="28"/>
          <w:lang w:eastAsia="ko-KR" w:bidi="pa-IN"/>
        </w:rPr>
        <w:t xml:space="preserve">%; (р&gt;0,05)), до 36 месяцев -  у 49 (56,3±5,3%; р&lt;0,001) и </w:t>
      </w:r>
      <w:r w:rsidRPr="00A11646">
        <w:rPr>
          <w:rFonts w:ascii="Times New Roman" w:hAnsi="Times New Roman"/>
          <w:sz w:val="28"/>
          <w:szCs w:val="28"/>
        </w:rPr>
        <w:t xml:space="preserve">до 60месяцев и более –у  22(25,3±4,7%; </w:t>
      </w:r>
      <w:r w:rsidRPr="00A11646">
        <w:rPr>
          <w:rFonts w:ascii="Times New Roman" w:eastAsia="Batang" w:hAnsi="Times New Roman"/>
          <w:sz w:val="28"/>
          <w:szCs w:val="28"/>
          <w:lang w:eastAsia="ko-KR" w:bidi="pa-IN"/>
        </w:rPr>
        <w:t>р&lt;0,001и р&lt;0,001)</w:t>
      </w:r>
      <w:r w:rsidRPr="00A11646">
        <w:rPr>
          <w:rFonts w:ascii="Times New Roman" w:hAnsi="Times New Roman"/>
          <w:sz w:val="28"/>
          <w:szCs w:val="28"/>
          <w:lang w:val="uz-Cyrl-UZ"/>
        </w:rPr>
        <w:t>(табл.4.3.3.)</w:t>
      </w:r>
      <w:r w:rsidRPr="00A11646">
        <w:rPr>
          <w:rFonts w:ascii="Times New Roman" w:hAnsi="Times New Roman"/>
          <w:sz w:val="28"/>
          <w:szCs w:val="28"/>
        </w:rPr>
        <w:t xml:space="preserve">. </w:t>
      </w:r>
    </w:p>
    <w:bookmarkEnd w:id="221"/>
    <w:p w:rsidR="00190E3E" w:rsidRPr="00A11646" w:rsidRDefault="00190E3E" w:rsidP="00190E3E">
      <w:pPr>
        <w:spacing w:after="160" w:line="360" w:lineRule="auto"/>
        <w:ind w:firstLine="708"/>
        <w:jc w:val="right"/>
        <w:rPr>
          <w:rFonts w:ascii="Times New Roman" w:hAnsi="Times New Roman"/>
          <w:b/>
          <w:sz w:val="28"/>
          <w:szCs w:val="28"/>
        </w:rPr>
      </w:pPr>
      <w:r w:rsidRPr="00A11646">
        <w:rPr>
          <w:rFonts w:ascii="Times New Roman" w:hAnsi="Times New Roman"/>
          <w:b/>
          <w:sz w:val="28"/>
          <w:szCs w:val="28"/>
        </w:rPr>
        <w:t>Таблица 4.3.3.</w:t>
      </w:r>
    </w:p>
    <w:p w:rsidR="00190E3E" w:rsidRPr="00A11646" w:rsidRDefault="00190E3E" w:rsidP="00190E3E">
      <w:pPr>
        <w:spacing w:after="160" w:line="259" w:lineRule="auto"/>
        <w:jc w:val="center"/>
        <w:rPr>
          <w:rFonts w:ascii="Times New Roman" w:hAnsi="Times New Roman"/>
          <w:b/>
          <w:sz w:val="28"/>
          <w:szCs w:val="28"/>
        </w:rPr>
      </w:pPr>
      <w:r w:rsidRPr="00A11646">
        <w:rPr>
          <w:rFonts w:ascii="Times New Roman" w:hAnsi="Times New Roman"/>
          <w:b/>
          <w:sz w:val="28"/>
          <w:szCs w:val="28"/>
        </w:rPr>
        <w:t xml:space="preserve">Анализ ОВ среди пациентов ММ получивших ПХТ по схеме </w:t>
      </w:r>
      <w:r w:rsidRPr="00A11646">
        <w:rPr>
          <w:rFonts w:ascii="Times New Roman" w:hAnsi="Times New Roman"/>
          <w:b/>
          <w:sz w:val="28"/>
          <w:szCs w:val="28"/>
          <w:lang w:val="en-US"/>
        </w:rPr>
        <w:t>VCD</w:t>
      </w:r>
      <w:r w:rsidRPr="00A11646">
        <w:rPr>
          <w:rFonts w:ascii="Times New Roman" w:hAnsi="Times New Roman"/>
          <w:b/>
          <w:sz w:val="28"/>
          <w:szCs w:val="28"/>
        </w:rPr>
        <w:t>, (</w:t>
      </w:r>
      <w:r w:rsidRPr="00A11646">
        <w:rPr>
          <w:rFonts w:ascii="Times New Roman" w:hAnsi="Times New Roman"/>
          <w:b/>
          <w:sz w:val="28"/>
          <w:szCs w:val="28"/>
          <w:lang w:val="en-US"/>
        </w:rPr>
        <w:t>M</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w:t>
      </w:r>
    </w:p>
    <w:tbl>
      <w:tblPr>
        <w:tblW w:w="9259" w:type="dxa"/>
        <w:tblInd w:w="92" w:type="dxa"/>
        <w:tblLook w:val="0000"/>
      </w:tblPr>
      <w:tblGrid>
        <w:gridCol w:w="515"/>
        <w:gridCol w:w="1152"/>
        <w:gridCol w:w="678"/>
        <w:gridCol w:w="1778"/>
        <w:gridCol w:w="710"/>
        <w:gridCol w:w="1724"/>
        <w:gridCol w:w="678"/>
        <w:gridCol w:w="2024"/>
      </w:tblGrid>
      <w:tr w:rsidR="00A11646" w:rsidRPr="00A11646" w:rsidTr="00A11646">
        <w:trPr>
          <w:trHeight w:val="390"/>
        </w:trPr>
        <w:tc>
          <w:tcPr>
            <w:tcW w:w="16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Вариант Ig</w:t>
            </w:r>
          </w:p>
        </w:tc>
        <w:tc>
          <w:tcPr>
            <w:tcW w:w="7592"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Выживаемость больных ММ</w:t>
            </w:r>
          </w:p>
        </w:tc>
      </w:tr>
      <w:tr w:rsidR="00A11646" w:rsidRPr="00A11646" w:rsidTr="00A11646">
        <w:trPr>
          <w:trHeight w:val="375"/>
        </w:trPr>
        <w:tc>
          <w:tcPr>
            <w:tcW w:w="1667"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7592"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ОВ</w:t>
            </w:r>
          </w:p>
        </w:tc>
      </w:tr>
      <w:tr w:rsidR="00A11646" w:rsidRPr="00A11646" w:rsidTr="00A11646">
        <w:trPr>
          <w:trHeight w:val="375"/>
        </w:trPr>
        <w:tc>
          <w:tcPr>
            <w:tcW w:w="1667"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2456"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12 мес</w:t>
            </w:r>
          </w:p>
        </w:tc>
        <w:tc>
          <w:tcPr>
            <w:tcW w:w="2434"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36 мес</w:t>
            </w:r>
          </w:p>
        </w:tc>
        <w:tc>
          <w:tcPr>
            <w:tcW w:w="2702"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60 мес</w:t>
            </w:r>
          </w:p>
        </w:tc>
      </w:tr>
      <w:tr w:rsidR="00A11646" w:rsidRPr="00A11646" w:rsidTr="00A11646">
        <w:trPr>
          <w:trHeight w:val="375"/>
        </w:trPr>
        <w:tc>
          <w:tcPr>
            <w:tcW w:w="1667"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678"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778"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c>
          <w:tcPr>
            <w:tcW w:w="710"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724"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c>
          <w:tcPr>
            <w:tcW w:w="678"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2024"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r>
      <w:tr w:rsidR="00A11646" w:rsidRPr="00A11646" w:rsidTr="00A11646">
        <w:trPr>
          <w:trHeight w:val="750"/>
        </w:trPr>
        <w:tc>
          <w:tcPr>
            <w:tcW w:w="515"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en-US" w:eastAsia="ko-KR" w:bidi="pa-IN"/>
              </w:rPr>
              <w:t xml:space="preserve">G </w:t>
            </w:r>
          </w:p>
        </w:tc>
        <w:tc>
          <w:tcPr>
            <w:tcW w:w="1152"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 (n=40)</w:t>
            </w:r>
          </w:p>
        </w:tc>
        <w:tc>
          <w:tcPr>
            <w:tcW w:w="6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40</w:t>
            </w:r>
          </w:p>
        </w:tc>
        <w:tc>
          <w:tcPr>
            <w:tcW w:w="17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22" w:name="_Hlk6599395"/>
            <w:r w:rsidRPr="00A11646">
              <w:rPr>
                <w:rFonts w:ascii="Times New Roman" w:eastAsia="Batang" w:hAnsi="Times New Roman"/>
                <w:sz w:val="28"/>
                <w:szCs w:val="28"/>
                <w:lang w:eastAsia="ko-KR" w:bidi="pa-IN"/>
              </w:rPr>
              <w:t>46,0±5,4</w:t>
            </w:r>
            <w:bookmarkEnd w:id="222"/>
          </w:p>
        </w:tc>
        <w:tc>
          <w:tcPr>
            <w:tcW w:w="710"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23</w:t>
            </w:r>
          </w:p>
        </w:tc>
        <w:tc>
          <w:tcPr>
            <w:tcW w:w="17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26,4±4,8*</w:t>
            </w:r>
          </w:p>
        </w:tc>
        <w:tc>
          <w:tcPr>
            <w:tcW w:w="6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4</w:t>
            </w:r>
          </w:p>
        </w:tc>
        <w:tc>
          <w:tcPr>
            <w:tcW w:w="20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4,6±2,3***</w:t>
            </w:r>
            <w:r w:rsidRPr="00A11646">
              <w:rPr>
                <w:rFonts w:ascii="Times New Roman" w:eastAsia="Batang" w:hAnsi="Times New Roman"/>
                <w:sz w:val="28"/>
                <w:szCs w:val="28"/>
                <w:lang w:val="en-US" w:eastAsia="ko-KR" w:bidi="pa-IN"/>
              </w:rPr>
              <w:t>^^^</w:t>
            </w:r>
          </w:p>
        </w:tc>
      </w:tr>
      <w:tr w:rsidR="00A11646" w:rsidRPr="00A11646" w:rsidTr="00A11646">
        <w:trPr>
          <w:trHeight w:val="735"/>
        </w:trPr>
        <w:tc>
          <w:tcPr>
            <w:tcW w:w="515"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1152"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 (n=16)</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16</w:t>
            </w:r>
          </w:p>
        </w:tc>
        <w:tc>
          <w:tcPr>
            <w:tcW w:w="17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23" w:name="_Hlk6599625"/>
            <w:r w:rsidRPr="00A11646">
              <w:rPr>
                <w:rFonts w:ascii="Times New Roman" w:eastAsia="Batang" w:hAnsi="Times New Roman"/>
                <w:sz w:val="28"/>
                <w:szCs w:val="28"/>
                <w:lang w:eastAsia="ko-KR" w:bidi="pa-IN"/>
              </w:rPr>
              <w:t>18,4±4,2</w:t>
            </w:r>
            <w:bookmarkEnd w:id="223"/>
          </w:p>
        </w:tc>
        <w:tc>
          <w:tcPr>
            <w:tcW w:w="710"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11</w:t>
            </w:r>
          </w:p>
        </w:tc>
        <w:tc>
          <w:tcPr>
            <w:tcW w:w="17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12,6±3,6</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10</w:t>
            </w:r>
          </w:p>
        </w:tc>
        <w:tc>
          <w:tcPr>
            <w:tcW w:w="20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11,5±3,4</w:t>
            </w:r>
          </w:p>
        </w:tc>
      </w:tr>
      <w:tr w:rsidR="00A11646" w:rsidRPr="00A11646" w:rsidTr="00A11646">
        <w:trPr>
          <w:trHeight w:val="750"/>
        </w:trPr>
        <w:tc>
          <w:tcPr>
            <w:tcW w:w="515"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lastRenderedPageBreak/>
              <w:t>А</w:t>
            </w:r>
          </w:p>
        </w:tc>
        <w:tc>
          <w:tcPr>
            <w:tcW w:w="1152"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 (n=5)</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w:t>
            </w:r>
          </w:p>
        </w:tc>
        <w:tc>
          <w:tcPr>
            <w:tcW w:w="17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5,7±2,5</w:t>
            </w:r>
            <w:r w:rsidRPr="00A11646">
              <w:rPr>
                <w:rFonts w:ascii="Times New Roman" w:eastAsia="Batang" w:hAnsi="Times New Roman"/>
                <w:sz w:val="28"/>
                <w:szCs w:val="28"/>
                <w:lang w:val="en-US" w:eastAsia="ko-KR" w:bidi="pa-IN"/>
              </w:rPr>
              <w:t>&amp;&amp;&amp;</w:t>
            </w:r>
          </w:p>
        </w:tc>
        <w:tc>
          <w:tcPr>
            <w:tcW w:w="710"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4</w:t>
            </w:r>
          </w:p>
        </w:tc>
        <w:tc>
          <w:tcPr>
            <w:tcW w:w="17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24" w:name="_Hlk6599778"/>
            <w:r w:rsidRPr="00A11646">
              <w:rPr>
                <w:rFonts w:ascii="Times New Roman" w:eastAsia="Batang" w:hAnsi="Times New Roman"/>
                <w:sz w:val="28"/>
                <w:szCs w:val="28"/>
                <w:lang w:eastAsia="ko-KR" w:bidi="pa-IN"/>
              </w:rPr>
              <w:t>4,6±2,3</w:t>
            </w:r>
            <w:bookmarkEnd w:id="224"/>
            <w:r w:rsidRPr="00A11646">
              <w:rPr>
                <w:rFonts w:ascii="Times New Roman" w:eastAsia="Batang" w:hAnsi="Times New Roman"/>
                <w:sz w:val="28"/>
                <w:szCs w:val="28"/>
                <w:lang w:val="en-US" w:eastAsia="ko-KR" w:bidi="pa-IN"/>
              </w:rPr>
              <w:t>&amp;&amp;&amp;</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2</w:t>
            </w:r>
          </w:p>
        </w:tc>
        <w:tc>
          <w:tcPr>
            <w:tcW w:w="20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2,3±1,6</w:t>
            </w:r>
          </w:p>
        </w:tc>
      </w:tr>
      <w:tr w:rsidR="00A11646" w:rsidRPr="00A11646" w:rsidTr="00A11646">
        <w:trPr>
          <w:trHeight w:val="750"/>
        </w:trPr>
        <w:tc>
          <w:tcPr>
            <w:tcW w:w="515"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1152"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 (n=12)</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9</w:t>
            </w:r>
          </w:p>
        </w:tc>
        <w:tc>
          <w:tcPr>
            <w:tcW w:w="17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25" w:name="_Hlk6599882"/>
            <w:r w:rsidRPr="00A11646">
              <w:rPr>
                <w:rFonts w:ascii="Times New Roman" w:eastAsia="Batang" w:hAnsi="Times New Roman"/>
                <w:sz w:val="28"/>
                <w:szCs w:val="28"/>
                <w:lang w:eastAsia="ko-KR" w:bidi="pa-IN"/>
              </w:rPr>
              <w:t>10,3±3,3</w:t>
            </w:r>
            <w:bookmarkEnd w:id="225"/>
          </w:p>
        </w:tc>
        <w:tc>
          <w:tcPr>
            <w:tcW w:w="710"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7</w:t>
            </w:r>
          </w:p>
        </w:tc>
        <w:tc>
          <w:tcPr>
            <w:tcW w:w="17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8,0±2,9</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5</w:t>
            </w:r>
          </w:p>
        </w:tc>
        <w:tc>
          <w:tcPr>
            <w:tcW w:w="20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5,7±2,5</w:t>
            </w:r>
          </w:p>
        </w:tc>
      </w:tr>
      <w:tr w:rsidR="00A11646" w:rsidRPr="00A11646" w:rsidTr="00A11646">
        <w:trPr>
          <w:trHeight w:val="569"/>
        </w:trPr>
        <w:tc>
          <w:tcPr>
            <w:tcW w:w="16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Редкие варианты, (n=14)</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12</w:t>
            </w:r>
          </w:p>
        </w:tc>
        <w:tc>
          <w:tcPr>
            <w:tcW w:w="17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26" w:name="_Hlk6600003"/>
            <w:r w:rsidRPr="00A11646">
              <w:rPr>
                <w:rFonts w:ascii="Times New Roman" w:eastAsia="Batang" w:hAnsi="Times New Roman"/>
                <w:sz w:val="28"/>
                <w:szCs w:val="28"/>
                <w:lang w:eastAsia="ko-KR" w:bidi="pa-IN"/>
              </w:rPr>
              <w:t>13,8±3,7</w:t>
            </w:r>
            <w:bookmarkEnd w:id="226"/>
          </w:p>
        </w:tc>
        <w:tc>
          <w:tcPr>
            <w:tcW w:w="710"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4</w:t>
            </w:r>
          </w:p>
        </w:tc>
        <w:tc>
          <w:tcPr>
            <w:tcW w:w="17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4,6±2,3*</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w:t>
            </w:r>
          </w:p>
        </w:tc>
        <w:tc>
          <w:tcPr>
            <w:tcW w:w="20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1,1±1,1**</w:t>
            </w:r>
          </w:p>
        </w:tc>
      </w:tr>
      <w:tr w:rsidR="00A11646" w:rsidRPr="00A11646" w:rsidTr="00A11646">
        <w:trPr>
          <w:trHeight w:val="375"/>
        </w:trPr>
        <w:tc>
          <w:tcPr>
            <w:tcW w:w="166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Всего (n=87)</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82</w:t>
            </w:r>
          </w:p>
        </w:tc>
        <w:tc>
          <w:tcPr>
            <w:tcW w:w="17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bookmarkStart w:id="227" w:name="_Hlk6599110"/>
            <w:r w:rsidRPr="00A11646">
              <w:rPr>
                <w:rFonts w:ascii="Times New Roman" w:eastAsia="Batang" w:hAnsi="Times New Roman"/>
                <w:sz w:val="28"/>
                <w:szCs w:val="28"/>
                <w:lang w:eastAsia="ko-KR" w:bidi="pa-IN"/>
              </w:rPr>
              <w:t>94,3±2,5</w:t>
            </w:r>
            <w:bookmarkEnd w:id="227"/>
          </w:p>
        </w:tc>
        <w:tc>
          <w:tcPr>
            <w:tcW w:w="710"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49</w:t>
            </w:r>
          </w:p>
        </w:tc>
        <w:tc>
          <w:tcPr>
            <w:tcW w:w="17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56,3±5,3***</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22</w:t>
            </w:r>
          </w:p>
        </w:tc>
        <w:tc>
          <w:tcPr>
            <w:tcW w:w="202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25,3±4,7***</w:t>
            </w:r>
            <w:r w:rsidRPr="00A11646">
              <w:rPr>
                <w:rFonts w:ascii="Times New Roman" w:eastAsia="Batang" w:hAnsi="Times New Roman"/>
                <w:sz w:val="28"/>
                <w:szCs w:val="28"/>
                <w:lang w:val="en-US" w:eastAsia="ko-KR" w:bidi="pa-IN"/>
              </w:rPr>
              <w:t>^^^</w:t>
            </w:r>
          </w:p>
        </w:tc>
      </w:tr>
    </w:tbl>
    <w:p w:rsidR="00190E3E" w:rsidRPr="00A11646" w:rsidRDefault="00190E3E" w:rsidP="00190E3E">
      <w:pPr>
        <w:spacing w:after="0" w:line="360" w:lineRule="auto"/>
        <w:ind w:firstLine="900"/>
        <w:jc w:val="both"/>
        <w:rPr>
          <w:rFonts w:ascii="Times New Roman" w:eastAsia="Times New Roman" w:hAnsi="Times New Roman"/>
          <w:sz w:val="28"/>
          <w:szCs w:val="28"/>
        </w:rPr>
      </w:pPr>
      <w:r w:rsidRPr="00A11646">
        <w:rPr>
          <w:rFonts w:ascii="Times New Roman" w:eastAsia="Times New Roman" w:hAnsi="Times New Roman"/>
          <w:sz w:val="28"/>
          <w:szCs w:val="28"/>
        </w:rPr>
        <w:t>Примечание: *- достоверно по сравнению с показателями до 12 мес.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 xml:space="preserve">^ </w:t>
      </w:r>
      <w:r w:rsidRPr="00A11646">
        <w:rPr>
          <w:rFonts w:ascii="Times New Roman" w:eastAsia="Times New Roman" w:hAnsi="Times New Roman"/>
          <w:sz w:val="28"/>
          <w:szCs w:val="28"/>
        </w:rPr>
        <w:t>- достоверно по сравнению с показателями до 36 мес.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&lt;0,05;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&lt;0,01;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&amp;</w:t>
      </w:r>
      <w:r w:rsidRPr="00A11646">
        <w:rPr>
          <w:rFonts w:ascii="Times New Roman" w:eastAsia="Times New Roman" w:hAnsi="Times New Roman"/>
          <w:sz w:val="28"/>
          <w:szCs w:val="28"/>
        </w:rPr>
        <w:t xml:space="preserve">- достоверно по сравнению с показателями </w:t>
      </w:r>
      <w:r w:rsidRPr="00A11646">
        <w:rPr>
          <w:rFonts w:ascii="Times New Roman" w:eastAsia="Batang" w:hAnsi="Times New Roman"/>
          <w:sz w:val="28"/>
          <w:szCs w:val="28"/>
          <w:lang w:val="en-US" w:eastAsia="ko-KR" w:bidi="pa-IN"/>
        </w:rPr>
        <w:t>G</w:t>
      </w:r>
      <w:r w:rsidRPr="00A11646">
        <w:rPr>
          <w:rFonts w:ascii="Times New Roman" w:eastAsia="Times New Roman" w:hAnsi="Times New Roman"/>
          <w:sz w:val="28"/>
          <w:szCs w:val="28"/>
        </w:rPr>
        <w:t xml:space="preserve"> (&amp;-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&amp;&amp;-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&amp;&amp;&amp;</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&lt;0,001).</w:t>
      </w:r>
    </w:p>
    <w:p w:rsidR="00190E3E" w:rsidRPr="00A11646" w:rsidRDefault="00190E3E" w:rsidP="00190E3E">
      <w:pPr>
        <w:spacing w:after="160" w:line="360" w:lineRule="auto"/>
        <w:ind w:firstLine="708"/>
        <w:jc w:val="both"/>
        <w:rPr>
          <w:rFonts w:ascii="Times New Roman" w:eastAsia="Times New Roman" w:hAnsi="Times New Roman"/>
          <w:b/>
          <w:noProof/>
          <w:sz w:val="28"/>
          <w:szCs w:val="28"/>
        </w:rPr>
      </w:pPr>
      <w:bookmarkStart w:id="228" w:name="_Hlk7278005"/>
      <w:r w:rsidRPr="00A11646">
        <w:rPr>
          <w:rFonts w:ascii="Times New Roman" w:eastAsia="Times New Roman" w:hAnsi="Times New Roman"/>
          <w:sz w:val="28"/>
          <w:szCs w:val="28"/>
        </w:rPr>
        <w:t xml:space="preserve">Анализ БРВ в зависимости от иммунохимического варианта ММ показал, что при </w:t>
      </w:r>
      <w:r w:rsidRPr="00A11646">
        <w:rPr>
          <w:rFonts w:ascii="Times New Roman" w:eastAsia="Times New Roman" w:hAnsi="Times New Roman"/>
          <w:sz w:val="28"/>
          <w:szCs w:val="28"/>
          <w:lang w:val="en-US"/>
        </w:rPr>
        <w:t>IgG</w:t>
      </w:r>
      <w:r w:rsidRPr="00A11646">
        <w:rPr>
          <w:rFonts w:ascii="Times New Roman" w:eastAsia="Batang" w:hAnsi="Times New Roman"/>
          <w:sz w:val="28"/>
          <w:szCs w:val="28"/>
          <w:lang w:eastAsia="ko-KR" w:bidi="pa-IN"/>
        </w:rPr>
        <w:t>κ (n=40)</w:t>
      </w:r>
      <w:r w:rsidR="00222B70">
        <w:rPr>
          <w:rFonts w:ascii="Times New Roman" w:eastAsia="Batang" w:hAnsi="Times New Roman"/>
          <w:sz w:val="28"/>
          <w:szCs w:val="28"/>
          <w:lang w:val="uz-Cyrl-UZ" w:eastAsia="ko-KR" w:bidi="pa-IN"/>
        </w:rPr>
        <w:t xml:space="preserve"> </w:t>
      </w:r>
      <w:r w:rsidRPr="00A11646">
        <w:rPr>
          <w:rFonts w:ascii="Times New Roman" w:hAnsi="Times New Roman"/>
          <w:sz w:val="28"/>
          <w:szCs w:val="28"/>
        </w:rPr>
        <w:t>БРВ до 12 месяцев</w:t>
      </w:r>
      <w:r w:rsidR="004E1387">
        <w:rPr>
          <w:rFonts w:ascii="Times New Roman" w:hAnsi="Times New Roman"/>
          <w:sz w:val="28"/>
          <w:szCs w:val="28"/>
          <w:lang w:val="uz-Cyrl-UZ"/>
        </w:rPr>
        <w:t xml:space="preserve"> </w:t>
      </w:r>
      <w:r w:rsidRPr="00A11646">
        <w:rPr>
          <w:rFonts w:ascii="Times New Roman" w:hAnsi="Times New Roman"/>
          <w:sz w:val="28"/>
          <w:szCs w:val="28"/>
        </w:rPr>
        <w:t>зарегистрирована у 40 больных (46,0±5,4</w:t>
      </w:r>
      <w:r w:rsidRPr="00A11646">
        <w:rPr>
          <w:rFonts w:ascii="Times New Roman" w:eastAsia="Batang" w:hAnsi="Times New Roman"/>
          <w:sz w:val="28"/>
          <w:szCs w:val="28"/>
          <w:lang w:eastAsia="ko-KR" w:bidi="pa-IN"/>
        </w:rPr>
        <w:t xml:space="preserve">%; р&gt;0,05), до 36 месяцев -  у 23 (26,4±4,8%; р&lt;0,05) и </w:t>
      </w:r>
      <w:r w:rsidRPr="00A11646">
        <w:rPr>
          <w:rFonts w:ascii="Times New Roman" w:hAnsi="Times New Roman"/>
          <w:sz w:val="28"/>
          <w:szCs w:val="28"/>
        </w:rPr>
        <w:t>до 60 месяцев и более - у 4 (</w:t>
      </w:r>
      <w:r w:rsidRPr="00A11646">
        <w:rPr>
          <w:rFonts w:ascii="Times New Roman" w:eastAsia="Batang" w:hAnsi="Times New Roman"/>
          <w:sz w:val="28"/>
          <w:szCs w:val="28"/>
          <w:lang w:eastAsia="ko-KR" w:bidi="pa-IN"/>
        </w:rPr>
        <w:t>4,6±2,3</w:t>
      </w:r>
      <w:r w:rsidRPr="00A11646">
        <w:rPr>
          <w:rFonts w:ascii="Times New Roman" w:hAnsi="Times New Roman"/>
          <w:sz w:val="28"/>
          <w:szCs w:val="28"/>
        </w:rPr>
        <w:t xml:space="preserve">%; </w:t>
      </w:r>
      <w:r w:rsidRPr="00A11646">
        <w:rPr>
          <w:rFonts w:ascii="Times New Roman" w:eastAsia="Batang" w:hAnsi="Times New Roman"/>
          <w:sz w:val="28"/>
          <w:szCs w:val="28"/>
          <w:lang w:eastAsia="ko-KR" w:bidi="pa-IN"/>
        </w:rPr>
        <w:t>р&lt;0,001 и</w:t>
      </w:r>
      <w:r w:rsidR="00222B70">
        <w:rPr>
          <w:rFonts w:ascii="Times New Roman" w:eastAsia="Batang" w:hAnsi="Times New Roman"/>
          <w:sz w:val="28"/>
          <w:szCs w:val="28"/>
          <w:lang w:val="uz-Cyrl-UZ" w:eastAsia="ko-KR" w:bidi="pa-IN"/>
        </w:rPr>
        <w:t xml:space="preserve"> </w:t>
      </w:r>
      <w:r w:rsidRPr="00A11646">
        <w:rPr>
          <w:rFonts w:ascii="Times New Roman" w:eastAsia="Batang" w:hAnsi="Times New Roman"/>
          <w:sz w:val="28"/>
          <w:szCs w:val="28"/>
          <w:lang w:eastAsia="ko-KR" w:bidi="pa-IN"/>
        </w:rPr>
        <w:t>р</w:t>
      </w:r>
      <w:bookmarkStart w:id="229" w:name="_Hlk6599792"/>
      <w:r w:rsidRPr="00A11646">
        <w:rPr>
          <w:rFonts w:ascii="Times New Roman" w:eastAsia="Batang" w:hAnsi="Times New Roman"/>
          <w:sz w:val="28"/>
          <w:szCs w:val="28"/>
          <w:lang w:eastAsia="ko-KR" w:bidi="pa-IN"/>
        </w:rPr>
        <w:t>&lt;0,001</w:t>
      </w:r>
      <w:bookmarkEnd w:id="229"/>
      <w:r w:rsidRPr="00A11646">
        <w:rPr>
          <w:rFonts w:ascii="Times New Roman" w:eastAsia="Batang" w:hAnsi="Times New Roman"/>
          <w:sz w:val="28"/>
          <w:szCs w:val="28"/>
          <w:lang w:eastAsia="ko-KR" w:bidi="pa-IN"/>
        </w:rPr>
        <w:t xml:space="preserve">); при </w:t>
      </w:r>
      <w:r w:rsidRPr="00A11646">
        <w:rPr>
          <w:rFonts w:ascii="Times New Roman" w:eastAsia="Times New Roman" w:hAnsi="Times New Roman"/>
          <w:sz w:val="28"/>
          <w:szCs w:val="28"/>
          <w:lang w:val="en-US"/>
        </w:rPr>
        <w:t>IgG</w:t>
      </w:r>
      <w:r w:rsidRPr="00A11646">
        <w:rPr>
          <w:rFonts w:ascii="Times New Roman" w:eastAsia="Times New Roman" w:hAnsi="Times New Roman"/>
          <w:sz w:val="28"/>
          <w:szCs w:val="28"/>
        </w:rPr>
        <w:t>λ</w:t>
      </w:r>
      <w:r w:rsidR="00222B70">
        <w:rPr>
          <w:rFonts w:ascii="Times New Roman" w:eastAsia="Times New Roman" w:hAnsi="Times New Roman"/>
          <w:sz w:val="28"/>
          <w:szCs w:val="28"/>
          <w:lang w:val="uz-Cyrl-UZ"/>
        </w:rPr>
        <w:t xml:space="preserve"> </w:t>
      </w:r>
      <w:r w:rsidRPr="00A11646">
        <w:rPr>
          <w:rFonts w:ascii="Times New Roman" w:hAnsi="Times New Roman"/>
          <w:sz w:val="28"/>
          <w:szCs w:val="28"/>
        </w:rPr>
        <w:t>БРВ до 12 месяцев</w:t>
      </w:r>
      <w:r w:rsidR="004E1387">
        <w:rPr>
          <w:rFonts w:ascii="Times New Roman" w:hAnsi="Times New Roman"/>
          <w:sz w:val="28"/>
          <w:szCs w:val="28"/>
          <w:lang w:val="uz-Cyrl-UZ"/>
        </w:rPr>
        <w:t xml:space="preserve"> </w:t>
      </w:r>
      <w:r w:rsidRPr="00A11646">
        <w:rPr>
          <w:rFonts w:ascii="Times New Roman" w:hAnsi="Times New Roman"/>
          <w:sz w:val="28"/>
          <w:szCs w:val="28"/>
        </w:rPr>
        <w:t>зарегистрирована у 16 больных (18,4±4,2</w:t>
      </w:r>
      <w:r w:rsidRPr="00A11646">
        <w:rPr>
          <w:rFonts w:ascii="Times New Roman" w:eastAsia="Batang" w:hAnsi="Times New Roman"/>
          <w:sz w:val="28"/>
          <w:szCs w:val="28"/>
          <w:lang w:eastAsia="ko-KR" w:bidi="pa-IN"/>
        </w:rPr>
        <w:t>%; р</w:t>
      </w:r>
      <w:bookmarkStart w:id="230" w:name="_Hlk6599726"/>
      <w:r w:rsidRPr="00A11646">
        <w:rPr>
          <w:rFonts w:ascii="Times New Roman" w:eastAsia="Batang" w:hAnsi="Times New Roman"/>
          <w:sz w:val="28"/>
          <w:szCs w:val="28"/>
          <w:lang w:eastAsia="ko-KR" w:bidi="pa-IN"/>
        </w:rPr>
        <w:t>&gt;0,05</w:t>
      </w:r>
      <w:bookmarkEnd w:id="230"/>
      <w:r w:rsidRPr="00A11646">
        <w:rPr>
          <w:rFonts w:ascii="Times New Roman" w:eastAsia="Batang" w:hAnsi="Times New Roman"/>
          <w:sz w:val="28"/>
          <w:szCs w:val="28"/>
          <w:lang w:eastAsia="ko-KR" w:bidi="pa-IN"/>
        </w:rPr>
        <w:t xml:space="preserve">), до 36 месяцев -  у 11 (12,6±3,6; р&gt;0,05) и </w:t>
      </w:r>
      <w:r w:rsidRPr="00A11646">
        <w:rPr>
          <w:rFonts w:ascii="Times New Roman" w:hAnsi="Times New Roman"/>
          <w:sz w:val="28"/>
          <w:szCs w:val="28"/>
        </w:rPr>
        <w:t xml:space="preserve">до 60 месяцев и более - у  10 (11,5±3,4%; р&gt;0,05); при </w:t>
      </w:r>
      <w:r w:rsidRPr="00A11646">
        <w:rPr>
          <w:rFonts w:ascii="Times New Roman" w:hAnsi="Times New Roman"/>
          <w:sz w:val="28"/>
          <w:szCs w:val="28"/>
          <w:lang w:val="en-US"/>
        </w:rPr>
        <w:t>Ig</w:t>
      </w:r>
      <w:r w:rsidRPr="00A11646">
        <w:rPr>
          <w:rFonts w:ascii="Times New Roman" w:hAnsi="Times New Roman"/>
          <w:sz w:val="28"/>
          <w:szCs w:val="28"/>
          <w:lang w:val="uz-Cyrl-UZ"/>
        </w:rPr>
        <w:t>А</w:t>
      </w:r>
      <w:r w:rsidRPr="00A11646">
        <w:rPr>
          <w:rFonts w:ascii="Times New Roman" w:eastAsia="Times New Roman" w:hAnsi="Times New Roman"/>
          <w:sz w:val="28"/>
          <w:szCs w:val="28"/>
        </w:rPr>
        <w:t>κ</w:t>
      </w:r>
      <w:r w:rsidRPr="00A11646">
        <w:rPr>
          <w:rFonts w:ascii="Times New Roman" w:hAnsi="Times New Roman"/>
          <w:sz w:val="28"/>
          <w:szCs w:val="28"/>
        </w:rPr>
        <w:t xml:space="preserve"> (n=5) </w:t>
      </w:r>
      <w:r w:rsidRPr="00A11646">
        <w:rPr>
          <w:rFonts w:ascii="Times New Roman" w:eastAsia="Times New Roman" w:hAnsi="Times New Roman"/>
          <w:sz w:val="28"/>
          <w:szCs w:val="28"/>
        </w:rPr>
        <w:t xml:space="preserve">БРВ до 12 месяцев зарегистрирована у 5 больных (5,7±2,5; р&lt;0,001), до 36 месяцев -  у 4 (4,6±2,3; р&lt;0,001), а  БРВ до 60 месяцев и более – у 2 (2,3±1,6%; р&gt;0,05); при </w:t>
      </w:r>
      <w:r w:rsidRPr="00A11646">
        <w:rPr>
          <w:rFonts w:ascii="Times New Roman" w:eastAsia="Times New Roman" w:hAnsi="Times New Roman"/>
          <w:sz w:val="28"/>
          <w:szCs w:val="28"/>
          <w:lang w:val="en-US"/>
        </w:rPr>
        <w:t>IgA</w:t>
      </w:r>
      <w:r w:rsidRPr="00A11646">
        <w:rPr>
          <w:rFonts w:ascii="Times New Roman" w:eastAsia="Times New Roman" w:hAnsi="Times New Roman"/>
          <w:sz w:val="28"/>
          <w:szCs w:val="28"/>
        </w:rPr>
        <w:t>λ (n=12) БРВ до 12 месяцев зарегистрирована у 9 больных (10,3±3,3; р&gt;0,05), БРВ до 36 месяцев у 7 (8,0±2,9;р&gt;0,05),а также до 60 месяцев и более у 5 (5,7±2,5;р&gt;0,05); при редких вариантах  (n=14) БРВ до 12 месяцев зарегистрирована у 12 больных (13,8±3,7; р&gt;0,05), до 36 месяцев -  у 4 (4,6±2,3; р&lt;0,05), а  БРВ до 60 месяцев и более у 1 (1,1±1,1; р&lt;0,01)(рис. 4.3.4.).</w:t>
      </w:r>
    </w:p>
    <w:bookmarkEnd w:id="228"/>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eastAsia="Times New Roman" w:hAnsi="Times New Roman"/>
          <w:b/>
          <w:noProof/>
          <w:sz w:val="28"/>
          <w:szCs w:val="28"/>
        </w:rPr>
        <w:lastRenderedPageBreak/>
        <w:drawing>
          <wp:inline distT="0" distB="0" distL="0" distR="0">
            <wp:extent cx="5166455" cy="3200400"/>
            <wp:effectExtent l="19050" t="0" r="15145"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90E3E" w:rsidRPr="00A11646" w:rsidRDefault="00190E3E" w:rsidP="00190E3E">
      <w:pPr>
        <w:spacing w:after="160" w:line="360" w:lineRule="auto"/>
        <w:ind w:firstLine="708"/>
        <w:jc w:val="both"/>
        <w:rPr>
          <w:rFonts w:ascii="Times New Roman" w:hAnsi="Times New Roman"/>
          <w:b/>
          <w:sz w:val="28"/>
          <w:szCs w:val="28"/>
        </w:rPr>
      </w:pPr>
      <w:r w:rsidRPr="00A11646">
        <w:rPr>
          <w:rFonts w:ascii="Times New Roman" w:hAnsi="Times New Roman"/>
          <w:b/>
          <w:sz w:val="28"/>
          <w:szCs w:val="28"/>
        </w:rPr>
        <w:t>Рис.4.3.4. ОВ у больных ММ «А» подгруппы в зависимости от иммунохимического варианта.</w:t>
      </w:r>
    </w:p>
    <w:p w:rsidR="00190E3E" w:rsidRPr="00A11646" w:rsidRDefault="00190E3E" w:rsidP="00190E3E">
      <w:pPr>
        <w:spacing w:after="0" w:line="360" w:lineRule="auto"/>
        <w:ind w:firstLine="708"/>
        <w:jc w:val="both"/>
        <w:rPr>
          <w:rFonts w:ascii="Times New Roman" w:eastAsia="Batang" w:hAnsi="Times New Roman"/>
          <w:sz w:val="28"/>
          <w:szCs w:val="28"/>
          <w:lang w:eastAsia="ko-KR" w:bidi="pa-IN"/>
        </w:rPr>
      </w:pPr>
      <w:bookmarkStart w:id="231" w:name="_Hlk7278019"/>
      <w:r w:rsidRPr="00A11646">
        <w:rPr>
          <w:rFonts w:ascii="Times New Roman" w:eastAsia="Times New Roman" w:hAnsi="Times New Roman"/>
          <w:sz w:val="28"/>
          <w:szCs w:val="28"/>
        </w:rPr>
        <w:t>Вышеприведенные данные показывают, что БРВ среди больных «</w:t>
      </w:r>
      <w:r w:rsidR="00E639CD">
        <w:rPr>
          <w:rFonts w:ascii="Times New Roman" w:eastAsia="Times New Roman" w:hAnsi="Times New Roman"/>
          <w:sz w:val="28"/>
          <w:szCs w:val="28"/>
          <w:lang w:val="uz-Cyrl-UZ"/>
        </w:rPr>
        <w:t>А</w:t>
      </w:r>
      <w:r w:rsidRPr="00A11646">
        <w:rPr>
          <w:rFonts w:ascii="Times New Roman" w:eastAsia="Times New Roman" w:hAnsi="Times New Roman"/>
          <w:sz w:val="28"/>
          <w:szCs w:val="28"/>
        </w:rPr>
        <w:t>» подгруппы до 12 месяцев зарегистрирована при IgGκ (n=40) у 32 (80,0%), при варианте IgGλ</w:t>
      </w:r>
      <w:r w:rsidR="00E639C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16 у  16 (100,0%), при IgАκ  (n=5) у 5 (100,0%), при IgAλ</w:t>
      </w:r>
      <w:r w:rsidR="00E639C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12 у</w:t>
      </w:r>
      <w:r w:rsidR="00E639C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9(75,0%), при редких формах из 14 у 12 (85,7%) больных; до 36 месяцев при варианте при IgGκ</w:t>
      </w:r>
      <w:r w:rsidR="00E639C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40 у 23 (57,5%), при варианте IgGλ</w:t>
      </w:r>
      <w:r w:rsidR="00E639C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16 у 11 (12,6%), при IgАκ</w:t>
      </w:r>
      <w:r w:rsidR="00E639C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5 у 5 (100,0%) и IgAλ</w:t>
      </w:r>
      <w:r w:rsidR="00E639CD">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12 у 9 (75,0%),  при редких формах из 14 у 12 (85,7%) больных; до 60 и более при варианте IgGκиз 40 у 4 (10,0%), при варианте IgGλ</w:t>
      </w:r>
      <w:r w:rsidR="00E71B30">
        <w:rPr>
          <w:rFonts w:ascii="Times New Roman" w:eastAsia="Times New Roman" w:hAnsi="Times New Roman"/>
          <w:sz w:val="28"/>
          <w:szCs w:val="28"/>
          <w:lang w:val="uz-Cyrl-UZ"/>
        </w:rPr>
        <w:t xml:space="preserve"> </w:t>
      </w:r>
      <w:r w:rsidRPr="00A11646">
        <w:rPr>
          <w:rFonts w:ascii="Times New Roman" w:eastAsia="Times New Roman" w:hAnsi="Times New Roman"/>
          <w:sz w:val="28"/>
          <w:szCs w:val="28"/>
        </w:rPr>
        <w:t>из 16 у 10 (62,5%), при IgАκиз 5 у 2 (40,0%),IgAλиз 12 у 5 (41,7%) и редких формах из 14 у 1 (7,1%) больных</w:t>
      </w:r>
      <w:r w:rsidRPr="00A11646">
        <w:rPr>
          <w:rFonts w:ascii="Times New Roman" w:eastAsia="Batang" w:hAnsi="Times New Roman"/>
          <w:sz w:val="28"/>
          <w:szCs w:val="28"/>
          <w:lang w:eastAsia="ko-KR" w:bidi="pa-IN"/>
        </w:rPr>
        <w:t>.</w:t>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t>В</w:t>
      </w:r>
      <w:r w:rsidR="00E71B30">
        <w:rPr>
          <w:rFonts w:ascii="Times New Roman" w:hAnsi="Times New Roman"/>
          <w:sz w:val="28"/>
          <w:szCs w:val="28"/>
          <w:lang w:val="uz-Cyrl-UZ"/>
        </w:rPr>
        <w:t xml:space="preserve"> </w:t>
      </w:r>
      <w:r w:rsidRPr="00A11646">
        <w:rPr>
          <w:rFonts w:ascii="Times New Roman" w:hAnsi="Times New Roman"/>
          <w:sz w:val="28"/>
          <w:szCs w:val="28"/>
        </w:rPr>
        <w:t>«Б» подгруппе</w:t>
      </w:r>
      <w:r w:rsidR="00E71B30">
        <w:rPr>
          <w:rFonts w:ascii="Times New Roman" w:hAnsi="Times New Roman"/>
          <w:sz w:val="28"/>
          <w:szCs w:val="28"/>
          <w:lang w:val="uz-Cyrl-UZ"/>
        </w:rPr>
        <w:t xml:space="preserve"> </w:t>
      </w:r>
      <w:r w:rsidRPr="00A11646">
        <w:rPr>
          <w:rFonts w:ascii="Times New Roman" w:hAnsi="Times New Roman"/>
          <w:sz w:val="28"/>
          <w:szCs w:val="28"/>
        </w:rPr>
        <w:t xml:space="preserve">больных ММ получавшие ПХТ по протоколу </w:t>
      </w:r>
      <w:r w:rsidRPr="00A11646">
        <w:rPr>
          <w:rFonts w:ascii="Times New Roman" w:hAnsi="Times New Roman"/>
          <w:sz w:val="28"/>
          <w:szCs w:val="28"/>
          <w:lang w:val="en-US"/>
        </w:rPr>
        <w:t>VCD</w:t>
      </w:r>
      <w:r w:rsidRPr="00A11646">
        <w:rPr>
          <w:rFonts w:ascii="Times New Roman" w:hAnsi="Times New Roman"/>
          <w:sz w:val="28"/>
          <w:szCs w:val="28"/>
        </w:rPr>
        <w:t xml:space="preserve"> (4</w:t>
      </w:r>
      <w:r w:rsidR="00E71B30">
        <w:rPr>
          <w:rFonts w:ascii="Times New Roman" w:hAnsi="Times New Roman"/>
          <w:sz w:val="28"/>
          <w:szCs w:val="28"/>
          <w:lang w:val="uz-Cyrl-UZ"/>
        </w:rPr>
        <w:t xml:space="preserve"> </w:t>
      </w:r>
      <w:r w:rsidRPr="00A11646">
        <w:rPr>
          <w:rFonts w:ascii="Times New Roman" w:hAnsi="Times New Roman"/>
          <w:sz w:val="28"/>
          <w:szCs w:val="28"/>
        </w:rPr>
        <w:t>курса) + аутоТГСК</w:t>
      </w:r>
      <w:r w:rsidR="00E71B30">
        <w:rPr>
          <w:rFonts w:ascii="Times New Roman" w:hAnsi="Times New Roman"/>
          <w:sz w:val="28"/>
          <w:szCs w:val="28"/>
          <w:lang w:val="uz-Cyrl-UZ"/>
        </w:rPr>
        <w:t xml:space="preserve"> </w:t>
      </w:r>
      <w:r w:rsidRPr="00A11646">
        <w:rPr>
          <w:rFonts w:ascii="Times New Roman" w:hAnsi="Times New Roman"/>
          <w:sz w:val="28"/>
          <w:szCs w:val="28"/>
        </w:rPr>
        <w:t>(n=20) ОВ до 12 месяцев</w:t>
      </w:r>
      <w:r w:rsidR="00E71B30">
        <w:rPr>
          <w:rFonts w:ascii="Times New Roman" w:hAnsi="Times New Roman"/>
          <w:sz w:val="28"/>
          <w:szCs w:val="28"/>
          <w:lang w:val="uz-Cyrl-UZ"/>
        </w:rPr>
        <w:t xml:space="preserve"> </w:t>
      </w:r>
      <w:r w:rsidRPr="00A11646">
        <w:rPr>
          <w:rFonts w:ascii="Times New Roman" w:hAnsi="Times New Roman"/>
          <w:sz w:val="28"/>
          <w:szCs w:val="28"/>
        </w:rPr>
        <w:t>зарегистрирована среди всех</w:t>
      </w:r>
      <w:r w:rsidR="00E71B30">
        <w:rPr>
          <w:rFonts w:ascii="Times New Roman" w:hAnsi="Times New Roman"/>
          <w:sz w:val="28"/>
          <w:szCs w:val="28"/>
          <w:lang w:val="uz-Cyrl-UZ"/>
        </w:rPr>
        <w:t xml:space="preserve"> </w:t>
      </w:r>
      <w:r w:rsidRPr="00A11646">
        <w:rPr>
          <w:rFonts w:ascii="Times New Roman" w:hAnsi="Times New Roman"/>
          <w:sz w:val="28"/>
          <w:szCs w:val="28"/>
        </w:rPr>
        <w:t>20 больных, что составило</w:t>
      </w:r>
      <w:r w:rsidR="00E639CD">
        <w:rPr>
          <w:rFonts w:ascii="Times New Roman" w:hAnsi="Times New Roman"/>
          <w:sz w:val="28"/>
          <w:szCs w:val="28"/>
          <w:lang w:val="uz-Cyrl-UZ"/>
        </w:rPr>
        <w:t xml:space="preserve"> </w:t>
      </w:r>
      <w:r w:rsidRPr="00A11646">
        <w:rPr>
          <w:rFonts w:ascii="Times New Roman" w:eastAsia="Batang" w:hAnsi="Times New Roman"/>
          <w:sz w:val="28"/>
          <w:szCs w:val="28"/>
          <w:lang w:eastAsia="ko-KR" w:bidi="pa-IN"/>
        </w:rPr>
        <w:t xml:space="preserve">100% (р&gt;0,05), до 36 месяцев -  у 16 (80,0±9,2%; р&lt;0,05) и </w:t>
      </w:r>
      <w:r w:rsidRPr="00A11646">
        <w:rPr>
          <w:rFonts w:ascii="Times New Roman" w:hAnsi="Times New Roman"/>
          <w:sz w:val="28"/>
          <w:szCs w:val="28"/>
        </w:rPr>
        <w:t>до 60</w:t>
      </w:r>
      <w:r w:rsidR="00E71B30">
        <w:rPr>
          <w:rFonts w:ascii="Times New Roman" w:hAnsi="Times New Roman"/>
          <w:sz w:val="28"/>
          <w:szCs w:val="28"/>
          <w:lang w:val="uz-Cyrl-UZ"/>
        </w:rPr>
        <w:t xml:space="preserve"> </w:t>
      </w:r>
      <w:r w:rsidRPr="00A11646">
        <w:rPr>
          <w:rFonts w:ascii="Times New Roman" w:hAnsi="Times New Roman"/>
          <w:sz w:val="28"/>
          <w:szCs w:val="28"/>
        </w:rPr>
        <w:t xml:space="preserve">месяцев и более –у  14 (70,0±10,5%; </w:t>
      </w:r>
      <w:r w:rsidRPr="00A11646">
        <w:rPr>
          <w:rFonts w:ascii="Times New Roman" w:eastAsia="Batang" w:hAnsi="Times New Roman"/>
          <w:sz w:val="28"/>
          <w:szCs w:val="28"/>
          <w:lang w:eastAsia="ko-KR" w:bidi="pa-IN"/>
        </w:rPr>
        <w:t>р&lt;0,05)</w:t>
      </w:r>
      <w:r w:rsidRPr="00A11646">
        <w:rPr>
          <w:rFonts w:ascii="Times New Roman" w:hAnsi="Times New Roman"/>
          <w:sz w:val="28"/>
          <w:szCs w:val="28"/>
          <w:lang w:val="uz-Cyrl-UZ"/>
        </w:rPr>
        <w:t>(табл.4.3.4.)</w:t>
      </w:r>
      <w:r w:rsidRPr="00A11646">
        <w:rPr>
          <w:rFonts w:ascii="Times New Roman" w:hAnsi="Times New Roman"/>
          <w:sz w:val="28"/>
          <w:szCs w:val="28"/>
        </w:rPr>
        <w:t xml:space="preserve">. </w:t>
      </w:r>
    </w:p>
    <w:p w:rsidR="00190E3E" w:rsidRPr="00A11646" w:rsidRDefault="00190E3E" w:rsidP="00190E3E">
      <w:pPr>
        <w:spacing w:after="160" w:line="360" w:lineRule="auto"/>
        <w:ind w:firstLine="708"/>
        <w:jc w:val="right"/>
        <w:rPr>
          <w:rFonts w:ascii="Times New Roman" w:hAnsi="Times New Roman"/>
          <w:b/>
          <w:sz w:val="28"/>
          <w:szCs w:val="28"/>
        </w:rPr>
      </w:pPr>
      <w:bookmarkStart w:id="232" w:name="_Hlk20249886"/>
      <w:bookmarkEnd w:id="231"/>
    </w:p>
    <w:p w:rsidR="00190E3E" w:rsidRPr="00A11646" w:rsidRDefault="00190E3E" w:rsidP="00190E3E">
      <w:pPr>
        <w:spacing w:after="160" w:line="360" w:lineRule="auto"/>
        <w:ind w:firstLine="708"/>
        <w:jc w:val="right"/>
        <w:rPr>
          <w:rFonts w:ascii="Times New Roman" w:hAnsi="Times New Roman"/>
          <w:b/>
          <w:sz w:val="28"/>
          <w:szCs w:val="28"/>
        </w:rPr>
      </w:pPr>
    </w:p>
    <w:p w:rsidR="00190E3E" w:rsidRPr="00A11646" w:rsidRDefault="00190E3E" w:rsidP="00190E3E">
      <w:pPr>
        <w:spacing w:after="160" w:line="360" w:lineRule="auto"/>
        <w:ind w:firstLine="708"/>
        <w:jc w:val="right"/>
        <w:rPr>
          <w:rFonts w:ascii="Times New Roman" w:hAnsi="Times New Roman"/>
          <w:b/>
          <w:sz w:val="28"/>
          <w:szCs w:val="28"/>
        </w:rPr>
      </w:pPr>
      <w:r w:rsidRPr="00A11646">
        <w:rPr>
          <w:rFonts w:ascii="Times New Roman" w:hAnsi="Times New Roman"/>
          <w:b/>
          <w:sz w:val="28"/>
          <w:szCs w:val="28"/>
        </w:rPr>
        <w:t>Таблица 4.3.4.</w:t>
      </w:r>
    </w:p>
    <w:p w:rsidR="00190E3E" w:rsidRPr="00A11646" w:rsidRDefault="00190E3E" w:rsidP="00190E3E">
      <w:pPr>
        <w:spacing w:after="160" w:line="259" w:lineRule="auto"/>
        <w:jc w:val="center"/>
        <w:rPr>
          <w:rFonts w:ascii="Times New Roman" w:hAnsi="Times New Roman"/>
          <w:b/>
          <w:sz w:val="28"/>
          <w:szCs w:val="28"/>
        </w:rPr>
      </w:pPr>
      <w:r w:rsidRPr="00A11646">
        <w:rPr>
          <w:rFonts w:ascii="Times New Roman" w:hAnsi="Times New Roman"/>
          <w:b/>
          <w:sz w:val="28"/>
          <w:szCs w:val="28"/>
        </w:rPr>
        <w:t xml:space="preserve">Анализ ОВ среди пациентов ММ получивших ПХТ по схеме </w:t>
      </w:r>
      <w:r w:rsidRPr="00A11646">
        <w:rPr>
          <w:rFonts w:ascii="Times New Roman" w:hAnsi="Times New Roman"/>
          <w:b/>
          <w:sz w:val="28"/>
          <w:szCs w:val="28"/>
          <w:lang w:val="en-US"/>
        </w:rPr>
        <w:t>VCD</w:t>
      </w:r>
      <w:r w:rsidRPr="00A11646">
        <w:rPr>
          <w:rFonts w:ascii="Times New Roman" w:hAnsi="Times New Roman"/>
          <w:b/>
          <w:sz w:val="28"/>
          <w:szCs w:val="28"/>
        </w:rPr>
        <w:t xml:space="preserve"> + аутоТГСК, (</w:t>
      </w:r>
      <w:r w:rsidRPr="00A11646">
        <w:rPr>
          <w:rFonts w:ascii="Times New Roman" w:hAnsi="Times New Roman"/>
          <w:b/>
          <w:sz w:val="28"/>
          <w:szCs w:val="28"/>
          <w:lang w:val="en-US"/>
        </w:rPr>
        <w:t>M</w:t>
      </w:r>
      <w:r w:rsidRPr="00A11646">
        <w:rPr>
          <w:rFonts w:ascii="Times New Roman" w:hAnsi="Times New Roman"/>
          <w:b/>
          <w:sz w:val="28"/>
          <w:szCs w:val="28"/>
        </w:rPr>
        <w:t>±</w:t>
      </w:r>
      <w:r w:rsidRPr="00A11646">
        <w:rPr>
          <w:rFonts w:ascii="Times New Roman" w:hAnsi="Times New Roman"/>
          <w:b/>
          <w:sz w:val="28"/>
          <w:szCs w:val="28"/>
          <w:lang w:val="en-US"/>
        </w:rPr>
        <w:t>m</w:t>
      </w:r>
      <w:r w:rsidRPr="00A11646">
        <w:rPr>
          <w:rFonts w:ascii="Times New Roman" w:hAnsi="Times New Roman"/>
          <w:b/>
          <w:sz w:val="28"/>
          <w:szCs w:val="28"/>
        </w:rPr>
        <w:t>)</w:t>
      </w:r>
    </w:p>
    <w:tbl>
      <w:tblPr>
        <w:tblW w:w="9259" w:type="dxa"/>
        <w:tblInd w:w="92" w:type="dxa"/>
        <w:tblLook w:val="0000"/>
      </w:tblPr>
      <w:tblGrid>
        <w:gridCol w:w="540"/>
        <w:gridCol w:w="1179"/>
        <w:gridCol w:w="678"/>
        <w:gridCol w:w="1563"/>
        <w:gridCol w:w="1023"/>
        <w:gridCol w:w="1374"/>
        <w:gridCol w:w="1129"/>
        <w:gridCol w:w="1773"/>
      </w:tblGrid>
      <w:tr w:rsidR="00A11646" w:rsidRPr="00A11646" w:rsidTr="00A11646">
        <w:trPr>
          <w:trHeight w:val="390"/>
        </w:trPr>
        <w:tc>
          <w:tcPr>
            <w:tcW w:w="17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Вариант Ig</w:t>
            </w:r>
          </w:p>
        </w:tc>
        <w:tc>
          <w:tcPr>
            <w:tcW w:w="7540"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Выживаемость больных ММ</w:t>
            </w:r>
          </w:p>
        </w:tc>
      </w:tr>
      <w:tr w:rsidR="00A11646" w:rsidRPr="00A11646" w:rsidTr="00A11646">
        <w:trPr>
          <w:trHeight w:val="375"/>
        </w:trPr>
        <w:tc>
          <w:tcPr>
            <w:tcW w:w="1719"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7540" w:type="dxa"/>
            <w:gridSpan w:val="6"/>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ОВ</w:t>
            </w:r>
          </w:p>
        </w:tc>
      </w:tr>
      <w:tr w:rsidR="00A11646" w:rsidRPr="00A11646" w:rsidTr="00A11646">
        <w:trPr>
          <w:trHeight w:val="375"/>
        </w:trPr>
        <w:tc>
          <w:tcPr>
            <w:tcW w:w="1719"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2241"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12 мес</w:t>
            </w:r>
          </w:p>
        </w:tc>
        <w:tc>
          <w:tcPr>
            <w:tcW w:w="2397"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36 мес</w:t>
            </w:r>
          </w:p>
        </w:tc>
        <w:tc>
          <w:tcPr>
            <w:tcW w:w="2902" w:type="dxa"/>
            <w:gridSpan w:val="2"/>
            <w:tcBorders>
              <w:top w:val="single" w:sz="4" w:space="0" w:color="auto"/>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До 60 мес</w:t>
            </w:r>
          </w:p>
        </w:tc>
      </w:tr>
      <w:tr w:rsidR="00A11646" w:rsidRPr="00A11646" w:rsidTr="00A11646">
        <w:trPr>
          <w:trHeight w:val="375"/>
        </w:trPr>
        <w:tc>
          <w:tcPr>
            <w:tcW w:w="1719" w:type="dxa"/>
            <w:gridSpan w:val="2"/>
            <w:vMerge/>
            <w:tcBorders>
              <w:top w:val="single" w:sz="4" w:space="0" w:color="auto"/>
              <w:left w:val="single" w:sz="4" w:space="0" w:color="auto"/>
              <w:bottom w:val="single" w:sz="4" w:space="0" w:color="000000"/>
              <w:right w:val="single" w:sz="4" w:space="0" w:color="000000"/>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678"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563"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c>
          <w:tcPr>
            <w:tcW w:w="1023"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374"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c>
          <w:tcPr>
            <w:tcW w:w="1129"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абс.</w:t>
            </w:r>
          </w:p>
        </w:tc>
        <w:tc>
          <w:tcPr>
            <w:tcW w:w="1773" w:type="dxa"/>
            <w:tcBorders>
              <w:top w:val="nil"/>
              <w:left w:val="nil"/>
              <w:bottom w:val="single" w:sz="4" w:space="0" w:color="auto"/>
              <w:right w:val="single" w:sz="4" w:space="0" w:color="auto"/>
            </w:tcBorders>
            <w:shd w:val="clear" w:color="auto" w:fill="auto"/>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r>
      <w:tr w:rsidR="00A11646" w:rsidRPr="00A11646" w:rsidTr="00A11646">
        <w:trPr>
          <w:trHeight w:val="750"/>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en-US" w:eastAsia="ko-KR" w:bidi="pa-IN"/>
              </w:rPr>
              <w:t xml:space="preserve">G </w:t>
            </w:r>
          </w:p>
        </w:tc>
        <w:tc>
          <w:tcPr>
            <w:tcW w:w="117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 (n=7)</w:t>
            </w:r>
          </w:p>
        </w:tc>
        <w:tc>
          <w:tcPr>
            <w:tcW w:w="678"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7</w:t>
            </w:r>
          </w:p>
        </w:tc>
        <w:tc>
          <w:tcPr>
            <w:tcW w:w="156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35,0±10,9</w:t>
            </w:r>
          </w:p>
        </w:tc>
        <w:tc>
          <w:tcPr>
            <w:tcW w:w="102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6</w:t>
            </w:r>
          </w:p>
        </w:tc>
        <w:tc>
          <w:tcPr>
            <w:tcW w:w="137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30,0±10,5</w:t>
            </w:r>
          </w:p>
        </w:tc>
        <w:tc>
          <w:tcPr>
            <w:tcW w:w="1129"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4</w:t>
            </w:r>
          </w:p>
        </w:tc>
        <w:tc>
          <w:tcPr>
            <w:tcW w:w="177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20,0±9,2</w:t>
            </w:r>
          </w:p>
        </w:tc>
      </w:tr>
      <w:tr w:rsidR="00A11646" w:rsidRPr="00A11646" w:rsidTr="00A11646">
        <w:trPr>
          <w:trHeight w:val="735"/>
        </w:trPr>
        <w:tc>
          <w:tcPr>
            <w:tcW w:w="540"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117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 (n=8)</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8</w:t>
            </w:r>
          </w:p>
        </w:tc>
        <w:tc>
          <w:tcPr>
            <w:tcW w:w="156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40,0±11,2</w:t>
            </w:r>
          </w:p>
        </w:tc>
        <w:tc>
          <w:tcPr>
            <w:tcW w:w="1023"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6</w:t>
            </w:r>
          </w:p>
        </w:tc>
        <w:tc>
          <w:tcPr>
            <w:tcW w:w="137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30,0±10,5</w:t>
            </w:r>
          </w:p>
        </w:tc>
        <w:tc>
          <w:tcPr>
            <w:tcW w:w="112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6</w:t>
            </w:r>
          </w:p>
        </w:tc>
        <w:tc>
          <w:tcPr>
            <w:tcW w:w="177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30,0±10,5</w:t>
            </w:r>
          </w:p>
        </w:tc>
      </w:tr>
      <w:tr w:rsidR="00A11646" w:rsidRPr="00A11646" w:rsidTr="00A11646">
        <w:trPr>
          <w:trHeight w:val="750"/>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А</w:t>
            </w:r>
          </w:p>
        </w:tc>
        <w:tc>
          <w:tcPr>
            <w:tcW w:w="117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κ, (n=1)</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w:t>
            </w:r>
          </w:p>
        </w:tc>
        <w:tc>
          <w:tcPr>
            <w:tcW w:w="156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5,0±5,0</w:t>
            </w:r>
            <w:r w:rsidRPr="00A11646">
              <w:rPr>
                <w:rFonts w:ascii="Times New Roman" w:eastAsia="Batang" w:hAnsi="Times New Roman"/>
                <w:sz w:val="28"/>
                <w:szCs w:val="28"/>
                <w:lang w:val="en-US" w:eastAsia="ko-KR" w:bidi="pa-IN"/>
              </w:rPr>
              <w:t>&amp;</w:t>
            </w:r>
          </w:p>
        </w:tc>
        <w:tc>
          <w:tcPr>
            <w:tcW w:w="1023"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w:t>
            </w:r>
          </w:p>
        </w:tc>
        <w:tc>
          <w:tcPr>
            <w:tcW w:w="137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 -</w:t>
            </w:r>
          </w:p>
        </w:tc>
        <w:tc>
          <w:tcPr>
            <w:tcW w:w="112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w:t>
            </w:r>
          </w:p>
        </w:tc>
        <w:tc>
          <w:tcPr>
            <w:tcW w:w="177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 -</w:t>
            </w:r>
          </w:p>
        </w:tc>
      </w:tr>
      <w:tr w:rsidR="00A11646" w:rsidRPr="00A11646" w:rsidTr="00A11646">
        <w:trPr>
          <w:trHeight w:val="750"/>
        </w:trPr>
        <w:tc>
          <w:tcPr>
            <w:tcW w:w="540" w:type="dxa"/>
            <w:vMerge/>
            <w:tcBorders>
              <w:top w:val="nil"/>
              <w:left w:val="single" w:sz="4" w:space="0" w:color="auto"/>
              <w:bottom w:val="single" w:sz="4" w:space="0" w:color="auto"/>
              <w:right w:val="single" w:sz="4" w:space="0" w:color="auto"/>
            </w:tcBorders>
            <w:vAlign w:val="center"/>
          </w:tcPr>
          <w:p w:rsidR="00190E3E" w:rsidRPr="00A11646" w:rsidRDefault="00190E3E" w:rsidP="00A11646">
            <w:pPr>
              <w:spacing w:after="0" w:line="240" w:lineRule="auto"/>
              <w:rPr>
                <w:rFonts w:ascii="Times New Roman" w:eastAsia="Batang" w:hAnsi="Times New Roman"/>
                <w:sz w:val="28"/>
                <w:szCs w:val="28"/>
                <w:lang w:eastAsia="ko-KR" w:bidi="pa-IN"/>
              </w:rPr>
            </w:pPr>
          </w:p>
        </w:tc>
        <w:tc>
          <w:tcPr>
            <w:tcW w:w="117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λ, (n=2)</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56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r w:rsidRPr="00A11646">
              <w:rPr>
                <w:rFonts w:ascii="Times New Roman" w:eastAsia="Batang" w:hAnsi="Times New Roman"/>
                <w:sz w:val="28"/>
                <w:szCs w:val="28"/>
                <w:lang w:val="en-US" w:eastAsia="ko-KR" w:bidi="pa-IN"/>
              </w:rPr>
              <w:t>&amp;</w:t>
            </w:r>
          </w:p>
        </w:tc>
        <w:tc>
          <w:tcPr>
            <w:tcW w:w="1023"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37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10,0±6,9</w:t>
            </w:r>
          </w:p>
        </w:tc>
        <w:tc>
          <w:tcPr>
            <w:tcW w:w="112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77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r>
      <w:tr w:rsidR="00A11646" w:rsidRPr="00A11646" w:rsidTr="00A11646">
        <w:trPr>
          <w:trHeight w:val="569"/>
        </w:trPr>
        <w:tc>
          <w:tcPr>
            <w:tcW w:w="17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Редкие варианты (n=2)</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56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c>
          <w:tcPr>
            <w:tcW w:w="1023"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37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c>
          <w:tcPr>
            <w:tcW w:w="112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w:t>
            </w:r>
          </w:p>
        </w:tc>
        <w:tc>
          <w:tcPr>
            <w:tcW w:w="177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10,0±6,9</w:t>
            </w:r>
          </w:p>
        </w:tc>
      </w:tr>
      <w:tr w:rsidR="00A11646" w:rsidRPr="00A11646" w:rsidTr="00A11646">
        <w:trPr>
          <w:trHeight w:val="375"/>
        </w:trPr>
        <w:tc>
          <w:tcPr>
            <w:tcW w:w="171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Всего (n=20)</w:t>
            </w:r>
          </w:p>
        </w:tc>
        <w:tc>
          <w:tcPr>
            <w:tcW w:w="678"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20</w:t>
            </w:r>
          </w:p>
        </w:tc>
        <w:tc>
          <w:tcPr>
            <w:tcW w:w="156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100</w:t>
            </w:r>
          </w:p>
        </w:tc>
        <w:tc>
          <w:tcPr>
            <w:tcW w:w="1023"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16</w:t>
            </w:r>
          </w:p>
        </w:tc>
        <w:tc>
          <w:tcPr>
            <w:tcW w:w="1374"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eastAsia="ko-KR" w:bidi="pa-IN"/>
              </w:rPr>
              <w:t>80,0±9,2</w:t>
            </w:r>
            <w:r w:rsidRPr="00A11646">
              <w:rPr>
                <w:rFonts w:ascii="Times New Roman" w:eastAsia="Batang" w:hAnsi="Times New Roman"/>
                <w:sz w:val="28"/>
                <w:szCs w:val="28"/>
                <w:lang w:val="en-US" w:eastAsia="ko-KR" w:bidi="pa-IN"/>
              </w:rPr>
              <w:t>*</w:t>
            </w:r>
          </w:p>
        </w:tc>
        <w:tc>
          <w:tcPr>
            <w:tcW w:w="1129" w:type="dxa"/>
            <w:tcBorders>
              <w:top w:val="nil"/>
              <w:left w:val="nil"/>
              <w:bottom w:val="single" w:sz="4" w:space="0" w:color="auto"/>
              <w:right w:val="single" w:sz="4" w:space="0" w:color="auto"/>
            </w:tcBorders>
            <w:shd w:val="clear" w:color="auto" w:fill="auto"/>
            <w:vAlign w:val="center"/>
          </w:tcPr>
          <w:p w:rsidR="00190E3E" w:rsidRPr="00A11646" w:rsidRDefault="00190E3E" w:rsidP="00A11646">
            <w:pPr>
              <w:spacing w:after="0" w:line="240" w:lineRule="auto"/>
              <w:jc w:val="center"/>
              <w:rPr>
                <w:rFonts w:ascii="Times New Roman" w:eastAsia="Batang" w:hAnsi="Times New Roman"/>
                <w:sz w:val="28"/>
                <w:szCs w:val="28"/>
                <w:lang w:eastAsia="ko-KR" w:bidi="pa-IN"/>
              </w:rPr>
            </w:pPr>
            <w:r w:rsidRPr="00A11646">
              <w:rPr>
                <w:rFonts w:ascii="Times New Roman" w:eastAsia="Batang" w:hAnsi="Times New Roman"/>
                <w:sz w:val="28"/>
                <w:szCs w:val="28"/>
                <w:lang w:val="uz-Cyrl-UZ" w:eastAsia="ko-KR" w:bidi="pa-IN"/>
              </w:rPr>
              <w:t>14</w:t>
            </w:r>
          </w:p>
        </w:tc>
        <w:tc>
          <w:tcPr>
            <w:tcW w:w="1773" w:type="dxa"/>
            <w:tcBorders>
              <w:top w:val="nil"/>
              <w:left w:val="nil"/>
              <w:bottom w:val="single" w:sz="4" w:space="0" w:color="auto"/>
              <w:right w:val="single" w:sz="4" w:space="0" w:color="auto"/>
            </w:tcBorders>
            <w:shd w:val="clear" w:color="auto" w:fill="FFFFFF"/>
            <w:vAlign w:val="center"/>
          </w:tcPr>
          <w:p w:rsidR="00190E3E" w:rsidRPr="00A11646" w:rsidRDefault="00190E3E" w:rsidP="00A11646">
            <w:pPr>
              <w:spacing w:after="0" w:line="240" w:lineRule="auto"/>
              <w:jc w:val="center"/>
              <w:rPr>
                <w:rFonts w:ascii="Times New Roman" w:eastAsia="Batang" w:hAnsi="Times New Roman"/>
                <w:sz w:val="28"/>
                <w:szCs w:val="28"/>
                <w:lang w:val="en-US" w:eastAsia="ko-KR" w:bidi="pa-IN"/>
              </w:rPr>
            </w:pPr>
            <w:r w:rsidRPr="00A11646">
              <w:rPr>
                <w:rFonts w:ascii="Times New Roman" w:eastAsia="Batang" w:hAnsi="Times New Roman"/>
                <w:sz w:val="28"/>
                <w:szCs w:val="28"/>
                <w:lang w:eastAsia="ko-KR" w:bidi="pa-IN"/>
              </w:rPr>
              <w:t>70,0±10,5</w:t>
            </w:r>
            <w:r w:rsidRPr="00A11646">
              <w:rPr>
                <w:rFonts w:ascii="Times New Roman" w:eastAsia="Batang" w:hAnsi="Times New Roman"/>
                <w:sz w:val="28"/>
                <w:szCs w:val="28"/>
                <w:lang w:val="en-US" w:eastAsia="ko-KR" w:bidi="pa-IN"/>
              </w:rPr>
              <w:t>*</w:t>
            </w:r>
          </w:p>
        </w:tc>
      </w:tr>
    </w:tbl>
    <w:p w:rsidR="00190E3E" w:rsidRPr="00A11646" w:rsidRDefault="00190E3E" w:rsidP="00190E3E">
      <w:pPr>
        <w:spacing w:after="0" w:line="360" w:lineRule="auto"/>
        <w:ind w:firstLine="900"/>
        <w:jc w:val="both"/>
        <w:rPr>
          <w:rFonts w:ascii="Times New Roman" w:eastAsia="Times New Roman" w:hAnsi="Times New Roman"/>
          <w:sz w:val="28"/>
          <w:szCs w:val="28"/>
        </w:rPr>
      </w:pPr>
      <w:r w:rsidRPr="00A11646">
        <w:rPr>
          <w:rFonts w:ascii="Times New Roman" w:eastAsia="Times New Roman" w:hAnsi="Times New Roman"/>
          <w:sz w:val="28"/>
          <w:szCs w:val="28"/>
        </w:rPr>
        <w:t>Примечание: *- достоверно по сравнению с показателями до 12 мес.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 xml:space="preserve">^ </w:t>
      </w:r>
      <w:r w:rsidRPr="00A11646">
        <w:rPr>
          <w:rFonts w:ascii="Times New Roman" w:eastAsia="Times New Roman" w:hAnsi="Times New Roman"/>
          <w:sz w:val="28"/>
          <w:szCs w:val="28"/>
        </w:rPr>
        <w:t>- достоверно по сравнению с показателями до 36 мес.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&lt;0,05;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&lt;0,01; </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 xml:space="preserve">&lt;0,001); </w:t>
      </w:r>
      <w:r w:rsidRPr="00A11646">
        <w:rPr>
          <w:rFonts w:ascii="Times New Roman" w:eastAsia="Batang" w:hAnsi="Times New Roman"/>
          <w:sz w:val="28"/>
          <w:szCs w:val="28"/>
          <w:lang w:eastAsia="ko-KR" w:bidi="pa-IN"/>
        </w:rPr>
        <w:t>&amp;</w:t>
      </w:r>
      <w:r w:rsidRPr="00A11646">
        <w:rPr>
          <w:rFonts w:ascii="Times New Roman" w:eastAsia="Times New Roman" w:hAnsi="Times New Roman"/>
          <w:sz w:val="28"/>
          <w:szCs w:val="28"/>
        </w:rPr>
        <w:t xml:space="preserve">- достоверно по сравнению с показателями </w:t>
      </w:r>
      <w:r w:rsidRPr="00A11646">
        <w:rPr>
          <w:rFonts w:ascii="Times New Roman" w:eastAsia="Batang" w:hAnsi="Times New Roman"/>
          <w:sz w:val="28"/>
          <w:szCs w:val="28"/>
          <w:lang w:val="en-US" w:eastAsia="ko-KR" w:bidi="pa-IN"/>
        </w:rPr>
        <w:t>G</w:t>
      </w:r>
      <w:r w:rsidRPr="00A11646">
        <w:rPr>
          <w:rFonts w:ascii="Times New Roman" w:eastAsia="Times New Roman" w:hAnsi="Times New Roman"/>
          <w:sz w:val="28"/>
          <w:szCs w:val="28"/>
        </w:rPr>
        <w:t xml:space="preserve"> (&amp;-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&lt;0,05; &amp;&amp;-</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&lt;0,01; &amp;&amp;&amp;</w:t>
      </w:r>
      <w:r w:rsidRPr="00A11646">
        <w:rPr>
          <w:rFonts w:ascii="Times New Roman" w:eastAsia="Batang" w:hAnsi="Times New Roman"/>
          <w:sz w:val="28"/>
          <w:szCs w:val="28"/>
          <w:lang w:eastAsia="ko-KR" w:bidi="pa-IN"/>
        </w:rPr>
        <w:t>-</w:t>
      </w:r>
      <w:r w:rsidRPr="00A11646">
        <w:rPr>
          <w:rFonts w:ascii="Times New Roman" w:eastAsia="Times New Roman" w:hAnsi="Times New Roman"/>
          <w:sz w:val="28"/>
          <w:szCs w:val="28"/>
          <w:lang w:val="en-US"/>
        </w:rPr>
        <w:t>P</w:t>
      </w:r>
      <w:r w:rsidRPr="00A11646">
        <w:rPr>
          <w:rFonts w:ascii="Times New Roman" w:eastAsia="Times New Roman" w:hAnsi="Times New Roman"/>
          <w:sz w:val="28"/>
          <w:szCs w:val="28"/>
        </w:rPr>
        <w:t>&lt;0,001).</w:t>
      </w:r>
    </w:p>
    <w:p w:rsidR="00190E3E" w:rsidRPr="00A11646" w:rsidRDefault="00190E3E" w:rsidP="00190E3E">
      <w:pPr>
        <w:pStyle w:val="a3"/>
        <w:spacing w:line="360" w:lineRule="auto"/>
        <w:ind w:firstLine="709"/>
        <w:jc w:val="both"/>
        <w:rPr>
          <w:color w:val="auto"/>
        </w:rPr>
      </w:pPr>
      <w:bookmarkStart w:id="233" w:name="_Hlk7278040"/>
      <w:bookmarkEnd w:id="232"/>
      <w:r w:rsidRPr="00A11646">
        <w:rPr>
          <w:color w:val="auto"/>
        </w:rPr>
        <w:t xml:space="preserve">Анализ ОВ в зависимости от иммунохимического варианта ММ составила следующие значения: при </w:t>
      </w:r>
      <w:r w:rsidRPr="00A11646">
        <w:rPr>
          <w:color w:val="auto"/>
          <w:lang w:val="en-US"/>
        </w:rPr>
        <w:t>IgG</w:t>
      </w:r>
      <w:r w:rsidRPr="00A11646">
        <w:rPr>
          <w:rFonts w:eastAsia="Batang"/>
          <w:color w:val="auto"/>
          <w:lang w:eastAsia="ko-KR" w:bidi="pa-IN"/>
        </w:rPr>
        <w:t>κ (n=7)</w:t>
      </w:r>
      <w:r w:rsidRPr="00A11646">
        <w:rPr>
          <w:color w:val="auto"/>
        </w:rPr>
        <w:t>ОВ до 12 месяцев зарегистрирована у 7 больных (35,0±10,9</w:t>
      </w:r>
      <w:r w:rsidRPr="00A11646">
        <w:rPr>
          <w:rFonts w:eastAsia="Batang"/>
          <w:color w:val="auto"/>
          <w:lang w:eastAsia="ko-KR" w:bidi="pa-IN"/>
        </w:rPr>
        <w:t xml:space="preserve">%; р&gt;0,05), до 36 месяцев -  у 6 (30,0±10,5%; р&gt;0,05) и </w:t>
      </w:r>
      <w:r w:rsidRPr="00A11646">
        <w:rPr>
          <w:color w:val="auto"/>
        </w:rPr>
        <w:t>до 60 месяцев и более - у 4 (</w:t>
      </w:r>
      <w:r w:rsidRPr="00A11646">
        <w:rPr>
          <w:rFonts w:eastAsia="Batang"/>
          <w:color w:val="auto"/>
          <w:lang w:eastAsia="ko-KR" w:bidi="pa-IN"/>
        </w:rPr>
        <w:t>20,0±9,2</w:t>
      </w:r>
      <w:r w:rsidRPr="00A11646">
        <w:rPr>
          <w:color w:val="auto"/>
        </w:rPr>
        <w:t xml:space="preserve">%; </w:t>
      </w:r>
      <w:r w:rsidRPr="00A11646">
        <w:rPr>
          <w:rFonts w:eastAsia="Batang"/>
          <w:color w:val="auto"/>
          <w:lang w:eastAsia="ko-KR" w:bidi="pa-IN"/>
        </w:rPr>
        <w:t xml:space="preserve">р&gt;0,05); при </w:t>
      </w:r>
      <w:r w:rsidRPr="00A11646">
        <w:rPr>
          <w:color w:val="auto"/>
          <w:lang w:val="en-US" w:eastAsia="ru-RU"/>
        </w:rPr>
        <w:t>IgG</w:t>
      </w:r>
      <w:r w:rsidRPr="00A11646">
        <w:rPr>
          <w:color w:val="auto"/>
          <w:lang w:eastAsia="ru-RU"/>
        </w:rPr>
        <w:t>λ</w:t>
      </w:r>
      <w:r w:rsidRPr="00A11646">
        <w:rPr>
          <w:rFonts w:eastAsia="Batang"/>
          <w:color w:val="auto"/>
          <w:lang w:eastAsia="ko-KR" w:bidi="pa-IN"/>
        </w:rPr>
        <w:t>(n=8)</w:t>
      </w:r>
      <w:r w:rsidRPr="00A11646">
        <w:rPr>
          <w:color w:val="auto"/>
        </w:rPr>
        <w:t>ОВ до 12 месяцев зарегистрирована у 8 больных (40,0±11,2</w:t>
      </w:r>
      <w:r w:rsidRPr="00A11646">
        <w:rPr>
          <w:rFonts w:eastAsia="Batang"/>
          <w:color w:val="auto"/>
          <w:lang w:eastAsia="ko-KR" w:bidi="pa-IN"/>
        </w:rPr>
        <w:t xml:space="preserve">%; (р&gt;0,05)), до 36 месяцев -  у 6 (30,0±10,5; р&gt;0,05) и </w:t>
      </w:r>
      <w:r w:rsidRPr="00A11646">
        <w:rPr>
          <w:color w:val="auto"/>
        </w:rPr>
        <w:t xml:space="preserve">до 60 месяцев и более - у  6 (30,0±10,5%; р&gt;0,05); при </w:t>
      </w:r>
      <w:r w:rsidRPr="00A11646">
        <w:rPr>
          <w:color w:val="auto"/>
          <w:lang w:val="en-US"/>
        </w:rPr>
        <w:t>Ig</w:t>
      </w:r>
      <w:r w:rsidRPr="00A11646">
        <w:rPr>
          <w:color w:val="auto"/>
          <w:lang w:val="uz-Cyrl-UZ"/>
        </w:rPr>
        <w:t>А</w:t>
      </w:r>
      <w:r w:rsidRPr="00A11646">
        <w:rPr>
          <w:color w:val="auto"/>
          <w:lang w:eastAsia="ru-RU"/>
        </w:rPr>
        <w:t>κ</w:t>
      </w:r>
      <w:r w:rsidRPr="00A11646">
        <w:rPr>
          <w:color w:val="auto"/>
        </w:rPr>
        <w:t xml:space="preserve"> (n=1) </w:t>
      </w:r>
      <w:r w:rsidRPr="00A11646">
        <w:rPr>
          <w:color w:val="auto"/>
          <w:lang w:eastAsia="ru-RU"/>
        </w:rPr>
        <w:t xml:space="preserve">ОВ до 12 месяцев зарегистрирована у 1 больного (5,0±5,0; р&lt;0,05), ОВ до 36 месяцев, а также  </w:t>
      </w:r>
      <w:r w:rsidRPr="00A11646">
        <w:rPr>
          <w:color w:val="auto"/>
          <w:lang w:eastAsia="ru-RU"/>
        </w:rPr>
        <w:lastRenderedPageBreak/>
        <w:t xml:space="preserve">до 60 месяцев и более – не зарегистрировано ни у одного больного; при </w:t>
      </w:r>
      <w:r w:rsidRPr="00A11646">
        <w:rPr>
          <w:color w:val="auto"/>
          <w:lang w:val="en-US" w:eastAsia="ru-RU"/>
        </w:rPr>
        <w:t>IgA</w:t>
      </w:r>
      <w:r w:rsidRPr="00A11646">
        <w:rPr>
          <w:color w:val="auto"/>
          <w:lang w:eastAsia="ru-RU"/>
        </w:rPr>
        <w:t>λ (n=2) ОВ до 12 месяцев зарегистрирована у 2 больных (10,0±6,9; р&lt;0,05), ОВ до 36 месяцев – у 2 (10,0±6,9%; р&gt;0,05),  ОВ до 60 месяцев и более – у 2 (10,0±6,9; р</w:t>
      </w:r>
      <w:bookmarkStart w:id="234" w:name="_Hlk6602566"/>
      <w:r w:rsidRPr="00A11646">
        <w:rPr>
          <w:color w:val="auto"/>
          <w:lang w:eastAsia="ru-RU"/>
        </w:rPr>
        <w:t>&gt;</w:t>
      </w:r>
      <w:bookmarkEnd w:id="234"/>
      <w:r w:rsidRPr="00A11646">
        <w:rPr>
          <w:color w:val="auto"/>
          <w:lang w:eastAsia="ru-RU"/>
        </w:rPr>
        <w:t>0,05);  при редких вариантах  (n=2) ОВ до 12 месяцев зарегистрирована у 2 больных (10,0±6,9; р&gt;0,05), до 36 месяцев -  у 2 больных (10,0±6,9; р&gt;0,05), а  ОВ до 60 месяцев и более – 2 больных (10,0±6,9; р&gt;0,05) (рис. 4.3.5.).</w:t>
      </w:r>
    </w:p>
    <w:bookmarkEnd w:id="233"/>
    <w:p w:rsidR="00190E3E" w:rsidRPr="00A11646" w:rsidRDefault="00190E3E" w:rsidP="00190E3E">
      <w:pPr>
        <w:spacing w:after="0" w:line="360" w:lineRule="auto"/>
        <w:jc w:val="both"/>
        <w:rPr>
          <w:rFonts w:ascii="Times New Roman" w:hAnsi="Times New Roman"/>
          <w:sz w:val="28"/>
          <w:szCs w:val="28"/>
        </w:rPr>
      </w:pPr>
    </w:p>
    <w:p w:rsidR="00190E3E" w:rsidRPr="00A11646" w:rsidRDefault="00190E3E" w:rsidP="00190E3E">
      <w:pPr>
        <w:spacing w:after="0" w:line="360" w:lineRule="auto"/>
        <w:jc w:val="both"/>
        <w:rPr>
          <w:rFonts w:ascii="Times New Roman" w:hAnsi="Times New Roman"/>
          <w:sz w:val="28"/>
          <w:szCs w:val="28"/>
        </w:rPr>
      </w:pPr>
      <w:r w:rsidRPr="00A11646">
        <w:rPr>
          <w:rFonts w:ascii="Times New Roman" w:eastAsia="Times New Roman" w:hAnsi="Times New Roman"/>
          <w:b/>
          <w:noProof/>
          <w:sz w:val="28"/>
          <w:szCs w:val="28"/>
        </w:rPr>
        <w:drawing>
          <wp:inline distT="0" distB="0" distL="0" distR="0">
            <wp:extent cx="5486400" cy="3200400"/>
            <wp:effectExtent l="19050" t="0" r="1905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0E3E" w:rsidRPr="00A11646" w:rsidRDefault="00190E3E" w:rsidP="00190E3E">
      <w:pPr>
        <w:spacing w:after="160" w:line="360" w:lineRule="auto"/>
        <w:ind w:firstLine="708"/>
        <w:jc w:val="both"/>
        <w:rPr>
          <w:rFonts w:ascii="Times New Roman" w:hAnsi="Times New Roman"/>
          <w:b/>
          <w:sz w:val="28"/>
          <w:szCs w:val="28"/>
        </w:rPr>
      </w:pPr>
      <w:r w:rsidRPr="00A11646">
        <w:rPr>
          <w:rFonts w:ascii="Times New Roman" w:hAnsi="Times New Roman"/>
          <w:b/>
          <w:sz w:val="28"/>
          <w:szCs w:val="28"/>
        </w:rPr>
        <w:t>Рис.4.3.5. БРВ у больных ММ «Б» подгруппы в зависимости от иммунохимического варианта.</w:t>
      </w:r>
    </w:p>
    <w:p w:rsidR="00190E3E" w:rsidRPr="00A11646" w:rsidRDefault="00190E3E" w:rsidP="00190E3E">
      <w:pPr>
        <w:pStyle w:val="a3"/>
        <w:spacing w:line="360" w:lineRule="auto"/>
        <w:ind w:firstLine="709"/>
        <w:jc w:val="both"/>
        <w:rPr>
          <w:color w:val="auto"/>
        </w:rPr>
      </w:pPr>
      <w:bookmarkStart w:id="235" w:name="_Hlk7278052"/>
      <w:r w:rsidRPr="00A11646">
        <w:rPr>
          <w:color w:val="auto"/>
        </w:rPr>
        <w:t xml:space="preserve">Вышеприведенные данные показывают, что ОВ среди больных «Б» подгруппы до 12 месяцев при всех изученных вариантах составляла 100,0% больных; до 36 месяцев при варианте IgGκиз 7 у 6 (85,7%), </w:t>
      </w:r>
      <w:r w:rsidRPr="00A11646">
        <w:rPr>
          <w:rFonts w:eastAsia="Batang"/>
          <w:color w:val="auto"/>
          <w:lang w:eastAsia="ko-KR" w:bidi="pa-IN"/>
        </w:rPr>
        <w:t xml:space="preserve">при варианте </w:t>
      </w:r>
      <w:r w:rsidRPr="00A11646">
        <w:rPr>
          <w:color w:val="auto"/>
          <w:lang w:val="en-US" w:eastAsia="ru-RU"/>
        </w:rPr>
        <w:t>IgG</w:t>
      </w:r>
      <w:r w:rsidRPr="00A11646">
        <w:rPr>
          <w:color w:val="auto"/>
          <w:lang w:eastAsia="ru-RU"/>
        </w:rPr>
        <w:t>λ из 8 у 6 (75,5%), при IgАκиз 1 больного ОВ не регистрировалась, при IgAλиз 2</w:t>
      </w:r>
      <w:r w:rsidRPr="00A11646">
        <w:rPr>
          <w:color w:val="auto"/>
        </w:rPr>
        <w:t xml:space="preserve"> у  2 (100,0%), при редких формах из 2 у 2 (100,0%); до 60 и более при варианте IgGκ из 7 у 4 (57,1%), при варианте IgGλиз 8 у 6 (75,0%), при IgАκиз 1 больного ОВ не регистрировалась, при IgAλиз 2 у 2 (100,0%), при редких формах из 2 у 2 больных (100,0%).</w:t>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lastRenderedPageBreak/>
        <w:t>Сравнительная оценка ОВ среди больных «А» и «Б» подгрупп показала, что ОВ до 12 месяцев, до 36 месяцев, а также до 60 и более месяцев в «Б» подгруппе по отношению к «А» подгруппе превышала в 1,06; в 1,42 и 2,8 раз (рис. 4.3.6.).</w:t>
      </w:r>
    </w:p>
    <w:bookmarkEnd w:id="235"/>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rPr>
        <w:t>А                                                         Б</w:t>
      </w:r>
    </w:p>
    <w:p w:rsidR="00190E3E" w:rsidRPr="00A11646" w:rsidRDefault="00190E3E" w:rsidP="00190E3E">
      <w:pPr>
        <w:spacing w:after="160" w:line="360" w:lineRule="auto"/>
        <w:jc w:val="both"/>
        <w:rPr>
          <w:rFonts w:ascii="Times New Roman" w:hAnsi="Times New Roman"/>
          <w:sz w:val="28"/>
          <w:szCs w:val="28"/>
        </w:rPr>
      </w:pPr>
      <w:r w:rsidRPr="00A11646">
        <w:rPr>
          <w:rFonts w:ascii="Times New Roman" w:eastAsia="Times New Roman" w:hAnsi="Times New Roman"/>
          <w:b/>
          <w:noProof/>
          <w:sz w:val="28"/>
          <w:szCs w:val="28"/>
        </w:rPr>
        <w:drawing>
          <wp:inline distT="0" distB="0" distL="0" distR="0">
            <wp:extent cx="2815590" cy="2686371"/>
            <wp:effectExtent l="19050" t="0" r="2286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11646">
        <w:rPr>
          <w:rFonts w:ascii="Times New Roman" w:eastAsia="Times New Roman" w:hAnsi="Times New Roman"/>
          <w:b/>
          <w:noProof/>
          <w:sz w:val="28"/>
          <w:szCs w:val="28"/>
        </w:rPr>
        <w:drawing>
          <wp:inline distT="0" distB="0" distL="0" distR="0">
            <wp:extent cx="2732567" cy="2661285"/>
            <wp:effectExtent l="19050" t="0" r="10633" b="571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90E3E" w:rsidRPr="00A11646" w:rsidRDefault="00190E3E" w:rsidP="00190E3E">
      <w:pPr>
        <w:spacing w:after="160" w:line="360" w:lineRule="auto"/>
        <w:ind w:firstLine="708"/>
        <w:jc w:val="both"/>
        <w:rPr>
          <w:rFonts w:ascii="Times New Roman" w:hAnsi="Times New Roman"/>
          <w:b/>
          <w:sz w:val="28"/>
          <w:szCs w:val="28"/>
        </w:rPr>
      </w:pPr>
      <w:r w:rsidRPr="00A11646">
        <w:rPr>
          <w:rFonts w:ascii="Times New Roman" w:hAnsi="Times New Roman"/>
          <w:b/>
          <w:sz w:val="28"/>
          <w:szCs w:val="28"/>
        </w:rPr>
        <w:t>Рис. 4.3.6. Сравнительная оценка ОВ больных ММ в «А» подгруппе (А) и «Б» подгруппе (Б).</w:t>
      </w:r>
    </w:p>
    <w:p w:rsidR="00190E3E" w:rsidRPr="00A11646" w:rsidRDefault="00190E3E" w:rsidP="00190E3E">
      <w:pPr>
        <w:spacing w:after="160" w:line="360" w:lineRule="auto"/>
        <w:ind w:firstLine="708"/>
        <w:jc w:val="both"/>
        <w:rPr>
          <w:rFonts w:ascii="Times New Roman" w:hAnsi="Times New Roman"/>
          <w:sz w:val="28"/>
          <w:szCs w:val="28"/>
        </w:rPr>
      </w:pPr>
      <w:r w:rsidRPr="00A11646">
        <w:rPr>
          <w:rFonts w:ascii="Times New Roman" w:hAnsi="Times New Roman"/>
          <w:sz w:val="28"/>
          <w:szCs w:val="28"/>
          <w:lang w:val="uz-Cyrl-UZ"/>
        </w:rPr>
        <w:t xml:space="preserve">Таким образом, полученные результаты свидетельствуют о том, что процент больных ММ с БРВ и ОВ </w:t>
      </w:r>
      <w:bookmarkStart w:id="236" w:name="_Hlk4963622"/>
      <w:r w:rsidRPr="00A11646">
        <w:rPr>
          <w:rFonts w:ascii="Times New Roman" w:hAnsi="Times New Roman"/>
          <w:sz w:val="28"/>
          <w:szCs w:val="28"/>
          <w:lang w:val="uz-Cyrl-UZ"/>
        </w:rPr>
        <w:t xml:space="preserve">в подгруппе “Б”  превышает таковые в подгруппе “А” . </w:t>
      </w:r>
      <w:bookmarkEnd w:id="236"/>
      <w:r w:rsidRPr="00A11646">
        <w:rPr>
          <w:rFonts w:ascii="Times New Roman" w:hAnsi="Times New Roman"/>
          <w:sz w:val="28"/>
          <w:szCs w:val="28"/>
          <w:lang w:val="uz-Cyrl-UZ"/>
        </w:rPr>
        <w:t>Это, в свою очередь,</w:t>
      </w:r>
      <w:r w:rsidR="00E71B30">
        <w:rPr>
          <w:rFonts w:ascii="Times New Roman" w:hAnsi="Times New Roman"/>
          <w:sz w:val="28"/>
          <w:szCs w:val="28"/>
          <w:lang w:val="uz-Cyrl-UZ"/>
        </w:rPr>
        <w:t xml:space="preserve"> </w:t>
      </w:r>
      <w:r w:rsidRPr="00A11646">
        <w:rPr>
          <w:rFonts w:ascii="Times New Roman" w:hAnsi="Times New Roman"/>
          <w:sz w:val="28"/>
          <w:szCs w:val="28"/>
          <w:lang w:val="uz-Cyrl-UZ"/>
        </w:rPr>
        <w:t>является доказательством более высокой эффективности применения аутоТГСК, что выражаетсяв повышении качества жизни и продления как БРВ, так и ОВ больных ММ в подгруппе “Б”.</w:t>
      </w:r>
      <w:bookmarkStart w:id="237" w:name="_Hlk7278068"/>
    </w:p>
    <w:p w:rsidR="00190E3E" w:rsidRPr="00A11646" w:rsidRDefault="00190E3E" w:rsidP="00E41F46">
      <w:pPr>
        <w:spacing w:after="160" w:line="360" w:lineRule="auto"/>
        <w:ind w:firstLine="708"/>
        <w:jc w:val="center"/>
        <w:rPr>
          <w:rFonts w:ascii="Times New Roman" w:hAnsi="Times New Roman"/>
          <w:b/>
          <w:sz w:val="28"/>
          <w:szCs w:val="28"/>
          <w:lang w:val="uz-Cyrl-UZ"/>
        </w:rPr>
      </w:pPr>
      <w:r w:rsidRPr="00A11646">
        <w:rPr>
          <w:rFonts w:ascii="Times New Roman" w:hAnsi="Times New Roman"/>
          <w:b/>
          <w:sz w:val="28"/>
          <w:szCs w:val="28"/>
          <w:lang w:val="uz-Cyrl-UZ"/>
        </w:rPr>
        <w:t>Заключение</w:t>
      </w:r>
    </w:p>
    <w:bookmarkEnd w:id="237"/>
    <w:p w:rsidR="00190E3E" w:rsidRPr="00A11646" w:rsidRDefault="00190E3E" w:rsidP="00190E3E">
      <w:pPr>
        <w:autoSpaceDE w:val="0"/>
        <w:autoSpaceDN w:val="0"/>
        <w:adjustRightInd w:val="0"/>
        <w:spacing w:after="0" w:line="360" w:lineRule="auto"/>
        <w:ind w:firstLine="708"/>
        <w:jc w:val="both"/>
        <w:rPr>
          <w:rFonts w:ascii="Times New Roman" w:hAnsi="Times New Roman"/>
          <w:sz w:val="28"/>
          <w:szCs w:val="28"/>
          <w:lang w:val="uz-Cyrl-UZ"/>
        </w:rPr>
      </w:pPr>
      <w:r w:rsidRPr="00A11646">
        <w:rPr>
          <w:rFonts w:ascii="Times New Roman" w:eastAsia="Calibri" w:hAnsi="Times New Roman"/>
          <w:sz w:val="28"/>
          <w:szCs w:val="28"/>
          <w:lang w:val="uz-Cyrl-UZ"/>
        </w:rPr>
        <w:t xml:space="preserve">Обобщая вышеприведенные данные можно заключить, что </w:t>
      </w:r>
      <w:r w:rsidRPr="00A11646">
        <w:rPr>
          <w:rFonts w:ascii="Times New Roman" w:hAnsi="Times New Roman"/>
          <w:sz w:val="28"/>
          <w:szCs w:val="28"/>
        </w:rPr>
        <w:t xml:space="preserve">проведенное лечение в обеих подгруппах свидетельствует об улучшении как клинического, так и лабораторного статуса больных ММ. </w:t>
      </w:r>
      <w:bookmarkStart w:id="238" w:name="_Hlk21385514"/>
      <w:r w:rsidRPr="00A11646">
        <w:rPr>
          <w:rFonts w:ascii="Times New Roman" w:hAnsi="Times New Roman"/>
          <w:sz w:val="28"/>
          <w:szCs w:val="28"/>
        </w:rPr>
        <w:t xml:space="preserve">Однако динамика изученных клинических и лабораторных параметров после лечения в «Б» подгруппе отличалась наибольшим восстановлением в </w:t>
      </w:r>
      <w:r w:rsidRPr="00A11646">
        <w:rPr>
          <w:rFonts w:ascii="Times New Roman" w:hAnsi="Times New Roman"/>
          <w:sz w:val="28"/>
          <w:szCs w:val="28"/>
        </w:rPr>
        <w:lastRenderedPageBreak/>
        <w:t xml:space="preserve">сравнении с «А» подгруппой, что выражалось клинически в исчезновении характерной симптоматики ММ, лабораторно </w:t>
      </w:r>
      <w:r w:rsidRPr="00A11646">
        <w:rPr>
          <w:rFonts w:ascii="Times New Roman" w:hAnsi="Times New Roman"/>
          <w:sz w:val="28"/>
          <w:szCs w:val="28"/>
          <w:lang w:val="uz-Cyrl-UZ"/>
        </w:rPr>
        <w:t xml:space="preserve">большего прироста гемоглобина, эритроцитов и тромбоцитов, снижение СОЭ, а также уровня плазмоцитов, наибольшее снижение уровня общего белка, микроглобулинов, мочевины и  креатинина в крови, уровня белка в моче. Все это непосредственноубедительно доказывает большую эффективность  применения аутоТГСК. </w:t>
      </w:r>
    </w:p>
    <w:bookmarkEnd w:id="238"/>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Default="00190E3E"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E41F46" w:rsidRDefault="00E41F46" w:rsidP="00190E3E">
      <w:pPr>
        <w:autoSpaceDE w:val="0"/>
        <w:autoSpaceDN w:val="0"/>
        <w:adjustRightInd w:val="0"/>
        <w:spacing w:after="0" w:line="360" w:lineRule="auto"/>
        <w:ind w:firstLine="708"/>
        <w:jc w:val="both"/>
        <w:rPr>
          <w:rFonts w:ascii="Times New Roman" w:eastAsia="Times New Roman" w:hAnsi="Times New Roman"/>
          <w:sz w:val="28"/>
          <w:szCs w:val="28"/>
          <w:lang w:val="uz-Cyrl-UZ"/>
        </w:rPr>
      </w:pPr>
    </w:p>
    <w:p w:rsidR="00190E3E" w:rsidRPr="00A11646" w:rsidRDefault="00190E3E" w:rsidP="00190E3E">
      <w:pPr>
        <w:pStyle w:val="a3"/>
        <w:spacing w:line="360" w:lineRule="auto"/>
        <w:ind w:firstLine="709"/>
        <w:jc w:val="center"/>
        <w:rPr>
          <w:b/>
          <w:color w:val="auto"/>
        </w:rPr>
      </w:pPr>
      <w:r w:rsidRPr="00A11646">
        <w:rPr>
          <w:b/>
          <w:color w:val="auto"/>
        </w:rPr>
        <w:lastRenderedPageBreak/>
        <w:t>ЗАКЛЮЧЕНИЕ</w:t>
      </w:r>
    </w:p>
    <w:p w:rsidR="00190E3E" w:rsidRPr="00A11646" w:rsidRDefault="00190E3E" w:rsidP="00190E3E">
      <w:pPr>
        <w:pStyle w:val="a3"/>
        <w:spacing w:line="360" w:lineRule="auto"/>
        <w:ind w:firstLine="709"/>
        <w:jc w:val="both"/>
        <w:rPr>
          <w:color w:val="auto"/>
        </w:rPr>
      </w:pPr>
    </w:p>
    <w:p w:rsidR="00190E3E" w:rsidRPr="00A11646" w:rsidRDefault="00190E3E" w:rsidP="00190E3E">
      <w:pPr>
        <w:pStyle w:val="a3"/>
        <w:spacing w:line="360" w:lineRule="auto"/>
        <w:ind w:firstLine="709"/>
        <w:jc w:val="both"/>
        <w:rPr>
          <w:color w:val="auto"/>
          <w:lang w:val="uz-Cyrl-UZ"/>
        </w:rPr>
      </w:pPr>
      <w:r w:rsidRPr="00A11646">
        <w:rPr>
          <w:color w:val="auto"/>
        </w:rPr>
        <w:t xml:space="preserve">Множественная миелома (ММ) - злокачественное лимфопролиферативное заболевание, характеризующееся инфильтрацией костного мозга плазматическими клетками, </w:t>
      </w:r>
      <w:r w:rsidRPr="00A11646">
        <w:rPr>
          <w:color w:val="auto"/>
          <w:lang w:val="uz-Cyrl-UZ"/>
        </w:rPr>
        <w:t>синтезом патологического белка,</w:t>
      </w:r>
      <w:r w:rsidRPr="00A11646">
        <w:rPr>
          <w:color w:val="auto"/>
        </w:rPr>
        <w:t xml:space="preserve"> поражениями костей и почек [</w:t>
      </w:r>
      <w:r w:rsidRPr="00A11646">
        <w:rPr>
          <w:color w:val="auto"/>
          <w:lang w:val="uz-Cyrl-UZ"/>
        </w:rPr>
        <w:t>4, с. 404-423</w:t>
      </w:r>
      <w:r w:rsidRPr="00A11646">
        <w:rPr>
          <w:color w:val="auto"/>
        </w:rPr>
        <w:t>]. Ежегодное увеличение новых случаев ММ свидетельствует о постоянном росте заболевания [108, с. 410-412], которое до настоящего времени является неизлечимым. Наряду с этим</w:t>
      </w:r>
      <w:r w:rsidR="00E71B30">
        <w:rPr>
          <w:color w:val="auto"/>
          <w:lang w:val="uz-Cyrl-UZ"/>
        </w:rPr>
        <w:t>,</w:t>
      </w:r>
      <w:r w:rsidRPr="00A11646">
        <w:rPr>
          <w:color w:val="auto"/>
        </w:rPr>
        <w:t xml:space="preserve"> рецидивы заболевания и различные осложнения (инфекционные осложнения, костные переломы, почечная недостаточность) приводят к утяжелению его течения еще более усугубляя качество жизни больных ММ [7, с. 140, 17, с. 32-35; 18, с. 30-32; 22, с. С. 25-33; 23, с. С. 56-58; 73, с. 593-599]</w:t>
      </w:r>
      <w:r w:rsidRPr="00A11646">
        <w:rPr>
          <w:color w:val="auto"/>
          <w:lang w:val="uz-Cyrl-UZ"/>
        </w:rPr>
        <w:t>.</w:t>
      </w:r>
    </w:p>
    <w:p w:rsidR="00190E3E" w:rsidRPr="00A11646" w:rsidRDefault="00190E3E" w:rsidP="00190E3E">
      <w:pPr>
        <w:pStyle w:val="a3"/>
        <w:spacing w:line="360" w:lineRule="auto"/>
        <w:ind w:firstLine="709"/>
        <w:jc w:val="both"/>
        <w:rPr>
          <w:color w:val="auto"/>
        </w:rPr>
      </w:pPr>
      <w:r w:rsidRPr="00A11646">
        <w:rPr>
          <w:color w:val="auto"/>
        </w:rPr>
        <w:t xml:space="preserve">Несмотря на длительный период изучения и большое количество проведенных многоцентровых исследований, механизмы формирования и   прогнозирования </w:t>
      </w:r>
      <w:r w:rsidRPr="00A11646">
        <w:rPr>
          <w:color w:val="auto"/>
          <w:lang w:val="uz-Cyrl-UZ"/>
        </w:rPr>
        <w:t>ММ</w:t>
      </w:r>
      <w:r w:rsidRPr="00A11646">
        <w:rPr>
          <w:color w:val="auto"/>
        </w:rPr>
        <w:t xml:space="preserve"> до сегодняшнего дня остаются малоизученными [1, с. 404-407; 4, с. 404-423]. ММ, как и многие другие заболевания, по своей природе являются   патологией с неясной этиологией, в его патогенезе участвует многообразие экзогенных и эндогенных взаимообуславливающих факторов [77, с. 230-269; 100, с. 69-82]. </w:t>
      </w:r>
    </w:p>
    <w:p w:rsidR="00190E3E" w:rsidRPr="00A11646" w:rsidRDefault="00190E3E" w:rsidP="00190E3E">
      <w:pPr>
        <w:pStyle w:val="a3"/>
        <w:spacing w:line="360" w:lineRule="auto"/>
        <w:ind w:firstLine="709"/>
        <w:jc w:val="both"/>
        <w:rPr>
          <w:color w:val="auto"/>
        </w:rPr>
      </w:pPr>
      <w:r w:rsidRPr="00A11646">
        <w:rPr>
          <w:color w:val="auto"/>
        </w:rPr>
        <w:t xml:space="preserve"> Внедрение современных методов исследования позволило повысить уровень диагностики ММ, за счет определения иммунохимических вариантов заболевания, которые </w:t>
      </w:r>
      <w:r w:rsidRPr="00A11646">
        <w:rPr>
          <w:color w:val="auto"/>
          <w:lang w:val="uz-Cyrl-UZ"/>
        </w:rPr>
        <w:t>отличаются</w:t>
      </w:r>
      <w:r w:rsidR="004E1387">
        <w:rPr>
          <w:color w:val="auto"/>
          <w:lang w:val="uz-Cyrl-UZ"/>
        </w:rPr>
        <w:t xml:space="preserve"> </w:t>
      </w:r>
      <w:r w:rsidRPr="00A11646">
        <w:rPr>
          <w:color w:val="auto"/>
        </w:rPr>
        <w:t>особенност</w:t>
      </w:r>
      <w:r w:rsidRPr="00A11646">
        <w:rPr>
          <w:color w:val="auto"/>
          <w:lang w:val="uz-Cyrl-UZ"/>
        </w:rPr>
        <w:t>ями</w:t>
      </w:r>
      <w:r w:rsidRPr="00A11646">
        <w:rPr>
          <w:color w:val="auto"/>
        </w:rPr>
        <w:t xml:space="preserve"> клинического течения и исхода патологического процесса.</w:t>
      </w:r>
    </w:p>
    <w:p w:rsidR="00190E3E" w:rsidRPr="00A11646" w:rsidRDefault="00190E3E" w:rsidP="00190E3E">
      <w:pPr>
        <w:pStyle w:val="a3"/>
        <w:spacing w:line="360" w:lineRule="auto"/>
        <w:ind w:firstLine="709"/>
        <w:jc w:val="both"/>
        <w:rPr>
          <w:color w:val="auto"/>
          <w:lang w:val="uz-Cyrl-UZ"/>
        </w:rPr>
      </w:pPr>
      <w:r w:rsidRPr="00A11646">
        <w:rPr>
          <w:color w:val="auto"/>
        </w:rPr>
        <w:t xml:space="preserve">За последние время в лечении ММ достигнуты успехи, за счет применения высокодозной ПХТ, что позволяет улучшить качество жизни больных за счет увеличения без рецидивной и общей выживаемости больных ММ [40, с. С. 712-718; 57, с. 1101-1104; 62, с. С. 1296-1299; 76, с. 392-399; 80, с. 5325-5336; 90, с. 2033-2041]. Однако агрессивная и длительная цитостатическая терапия увеличивает риск осложнений </w:t>
      </w:r>
      <w:r w:rsidRPr="00A11646">
        <w:rPr>
          <w:color w:val="auto"/>
        </w:rPr>
        <w:lastRenderedPageBreak/>
        <w:t>(токсическое поражение сердечно</w:t>
      </w:r>
      <w:r w:rsidR="00E17B63">
        <w:rPr>
          <w:color w:val="auto"/>
          <w:lang w:val="uz-Cyrl-UZ"/>
        </w:rPr>
        <w:t xml:space="preserve"> </w:t>
      </w:r>
      <w:r w:rsidRPr="00A11646">
        <w:rPr>
          <w:color w:val="auto"/>
        </w:rPr>
        <w:t>-</w:t>
      </w:r>
      <w:r w:rsidR="00E17B63">
        <w:rPr>
          <w:color w:val="auto"/>
          <w:lang w:val="uz-Cyrl-UZ"/>
        </w:rPr>
        <w:t xml:space="preserve"> </w:t>
      </w:r>
      <w:r w:rsidRPr="00A11646">
        <w:rPr>
          <w:color w:val="auto"/>
        </w:rPr>
        <w:t xml:space="preserve">сосудистой системы, печени, почек), а также даже при достижении максимальной эффективности проведенной ПХТ в организме больного сохраняется опухолевый клон, который вновь приводит к возврату заболевания [45, с. 1280-1286; 87, с. 282-285; 91, с. 217-223].  </w:t>
      </w:r>
      <w:r w:rsidRPr="00A11646">
        <w:rPr>
          <w:color w:val="auto"/>
          <w:lang w:val="uz-Cyrl-UZ"/>
        </w:rPr>
        <w:t xml:space="preserve">В связи с этим поиск новых, наиболее эффективных методов лечения привел к внедрению в практику лечения больных ММ трансплантации костного мозга, в частности аутологичной трансплантации гемопоэтических стволовых клеток (аутоТГСК). </w:t>
      </w:r>
      <w:r w:rsidRPr="00A11646">
        <w:rPr>
          <w:color w:val="auto"/>
          <w:spacing w:val="-2"/>
        </w:rPr>
        <w:t>По данным многоцентровых исследований применение аутоТГСК количество полных ремиссий, а также показатель без рецидивной и общей вы</w:t>
      </w:r>
      <w:r w:rsidRPr="00A11646">
        <w:rPr>
          <w:color w:val="auto"/>
          <w:spacing w:val="-2"/>
        </w:rPr>
        <w:softHyphen/>
      </w:r>
      <w:r w:rsidRPr="00A11646">
        <w:rPr>
          <w:color w:val="auto"/>
          <w:spacing w:val="-3"/>
        </w:rPr>
        <w:t xml:space="preserve">живаемости больных значительно возрастают [58, с. 1127-1734; 61, с. 207-238; 93, с. 732-41; 95, с. 1449-1455]. </w:t>
      </w:r>
    </w:p>
    <w:p w:rsidR="00190E3E" w:rsidRPr="00A11646" w:rsidRDefault="00190E3E" w:rsidP="00190E3E">
      <w:pPr>
        <w:pStyle w:val="a3"/>
        <w:spacing w:line="360" w:lineRule="auto"/>
        <w:ind w:firstLine="709"/>
        <w:jc w:val="both"/>
        <w:rPr>
          <w:rFonts w:eastAsia="Calibri"/>
          <w:color w:val="auto"/>
        </w:rPr>
      </w:pPr>
      <w:r w:rsidRPr="00A11646">
        <w:rPr>
          <w:color w:val="auto"/>
        </w:rPr>
        <w:t xml:space="preserve">  Таким образом, для увеличения продолжительности качественной жизни больных ММ необходимо проведение высокотехнологичных современных методы диагностики и лечения, что является приоритетным направлением во всем мире.</w:t>
      </w:r>
    </w:p>
    <w:p w:rsidR="00190E3E" w:rsidRPr="00A11646" w:rsidRDefault="00190E3E" w:rsidP="00190E3E">
      <w:pPr>
        <w:pStyle w:val="a3"/>
        <w:spacing w:line="360" w:lineRule="auto"/>
        <w:ind w:firstLine="709"/>
        <w:jc w:val="both"/>
        <w:rPr>
          <w:color w:val="auto"/>
        </w:rPr>
      </w:pPr>
      <w:r w:rsidRPr="00A11646">
        <w:rPr>
          <w:color w:val="auto"/>
        </w:rPr>
        <w:t>Объектом для наших исследований явились больные ММ (</w:t>
      </w:r>
      <w:r w:rsidRPr="00A11646">
        <w:rPr>
          <w:color w:val="auto"/>
          <w:lang w:val="en-US"/>
        </w:rPr>
        <w:t>n</w:t>
      </w:r>
      <w:r w:rsidRPr="00A11646">
        <w:rPr>
          <w:color w:val="auto"/>
        </w:rPr>
        <w:t>=124) (основная группа) в возрасте от 28 до 80 лет (медиана возраста 55,3 ± 2,3 лет), наход</w:t>
      </w:r>
      <w:r w:rsidRPr="00A11646">
        <w:rPr>
          <w:color w:val="auto"/>
          <w:lang w:val="uz-Cyrl-UZ"/>
        </w:rPr>
        <w:t>ивши</w:t>
      </w:r>
      <w:r w:rsidRPr="00A11646">
        <w:rPr>
          <w:color w:val="auto"/>
        </w:rPr>
        <w:t xml:space="preserve">хся на диспансерном наблюдении и лечении в клинике научно-исследовательского института Гематологии и переливания крови МЗ РУз (срок наблюдения составил в среднем </w:t>
      </w:r>
      <w:r w:rsidRPr="00A11646">
        <w:rPr>
          <w:color w:val="auto"/>
          <w:lang w:val="uz-Cyrl-UZ"/>
        </w:rPr>
        <w:t>45,5</w:t>
      </w:r>
      <w:r w:rsidRPr="00A11646">
        <w:rPr>
          <w:color w:val="auto"/>
        </w:rPr>
        <w:t>±</w:t>
      </w:r>
      <w:r w:rsidRPr="00A11646">
        <w:rPr>
          <w:color w:val="auto"/>
          <w:lang w:val="uz-Cyrl-UZ"/>
        </w:rPr>
        <w:t>2</w:t>
      </w:r>
      <w:r w:rsidRPr="00A11646">
        <w:rPr>
          <w:color w:val="auto"/>
        </w:rPr>
        <w:t xml:space="preserve">,9 </w:t>
      </w:r>
      <w:r w:rsidRPr="00A11646">
        <w:rPr>
          <w:color w:val="auto"/>
          <w:lang w:val="uz-Cyrl-UZ"/>
        </w:rPr>
        <w:t xml:space="preserve">месяца), а также больные ММ находившиеся в стадии ремиссии </w:t>
      </w:r>
      <w:r w:rsidRPr="00A11646">
        <w:rPr>
          <w:color w:val="auto"/>
        </w:rPr>
        <w:t>(</w:t>
      </w:r>
      <w:r w:rsidRPr="00A11646">
        <w:rPr>
          <w:color w:val="auto"/>
          <w:lang w:val="en-US"/>
        </w:rPr>
        <w:t>n</w:t>
      </w:r>
      <w:r w:rsidRPr="00A11646">
        <w:rPr>
          <w:color w:val="auto"/>
        </w:rPr>
        <w:t>=80)</w:t>
      </w:r>
      <w:r w:rsidRPr="00A11646">
        <w:rPr>
          <w:color w:val="auto"/>
          <w:lang w:val="uz-Cyrl-UZ"/>
        </w:rPr>
        <w:t xml:space="preserve">, сопоставимые по полу и возрасту с таковыми основной группы составили контрольную группу. </w:t>
      </w:r>
    </w:p>
    <w:p w:rsidR="004E1387" w:rsidRPr="004E1387" w:rsidRDefault="00190E3E" w:rsidP="004E1387">
      <w:pPr>
        <w:spacing w:after="0" w:line="360" w:lineRule="auto"/>
        <w:ind w:firstLine="709"/>
        <w:jc w:val="both"/>
        <w:rPr>
          <w:rFonts w:ascii="Times New Roman" w:hAnsi="Times New Roman"/>
          <w:sz w:val="28"/>
          <w:szCs w:val="28"/>
        </w:rPr>
      </w:pPr>
      <w:r w:rsidRPr="004E1387">
        <w:rPr>
          <w:rFonts w:ascii="Times New Roman" w:hAnsi="Times New Roman"/>
          <w:sz w:val="28"/>
          <w:szCs w:val="28"/>
          <w:lang w:val="uz-Cyrl-UZ"/>
        </w:rPr>
        <w:t>Ц</w:t>
      </w:r>
      <w:r w:rsidRPr="004E1387">
        <w:rPr>
          <w:rFonts w:ascii="Times New Roman" w:hAnsi="Times New Roman"/>
          <w:sz w:val="28"/>
          <w:szCs w:val="28"/>
        </w:rPr>
        <w:t>елью исследования явилось:</w:t>
      </w:r>
      <w:r w:rsidRPr="004E1387">
        <w:rPr>
          <w:rFonts w:ascii="Times New Roman" w:hAnsi="Times New Roman"/>
        </w:rPr>
        <w:t xml:space="preserve"> </w:t>
      </w:r>
      <w:r w:rsidR="004E1387" w:rsidRPr="004E1387">
        <w:rPr>
          <w:rFonts w:ascii="Times New Roman" w:hAnsi="Times New Roman"/>
          <w:sz w:val="28"/>
          <w:szCs w:val="28"/>
        </w:rPr>
        <w:t>усовершенствовать диагностику и лечение множественной миеломы на основе применения высокотехнологичных методов</w:t>
      </w:r>
      <w:r w:rsidR="004E1387" w:rsidRPr="004E1387">
        <w:rPr>
          <w:rFonts w:ascii="Times New Roman" w:hAnsi="Times New Roman"/>
          <w:sz w:val="28"/>
          <w:szCs w:val="28"/>
          <w:lang w:val="uz-Cyrl-UZ"/>
        </w:rPr>
        <w:t xml:space="preserve">,  </w:t>
      </w:r>
      <w:r w:rsidR="004E1387" w:rsidRPr="004E1387">
        <w:rPr>
          <w:rFonts w:ascii="Times New Roman" w:hAnsi="Times New Roman"/>
          <w:sz w:val="28"/>
          <w:szCs w:val="28"/>
        </w:rPr>
        <w:t xml:space="preserve">определить критерии прогноза течения и эффективность проводимой терапии заболевания.  </w:t>
      </w:r>
    </w:p>
    <w:p w:rsidR="00190E3E" w:rsidRPr="00A11646" w:rsidRDefault="00190E3E" w:rsidP="00190E3E">
      <w:pPr>
        <w:pStyle w:val="a3"/>
        <w:spacing w:line="360" w:lineRule="auto"/>
        <w:ind w:firstLine="709"/>
        <w:jc w:val="both"/>
        <w:rPr>
          <w:color w:val="auto"/>
        </w:rPr>
      </w:pPr>
      <w:r w:rsidRPr="00A11646">
        <w:rPr>
          <w:color w:val="auto"/>
        </w:rPr>
        <w:t xml:space="preserve">В ходе исследования из общего числа обследованных больных ММ наибольший процент составили больные женского пола (53,2%), при этом </w:t>
      </w:r>
      <w:r w:rsidRPr="00A11646">
        <w:rPr>
          <w:color w:val="auto"/>
        </w:rPr>
        <w:lastRenderedPageBreak/>
        <w:t>соотношение мужчин и женщин имело значение 1:1,14, тогда как по</w:t>
      </w:r>
      <w:r w:rsidR="00E17B63">
        <w:rPr>
          <w:color w:val="auto"/>
          <w:lang w:val="uz-Cyrl-UZ"/>
        </w:rPr>
        <w:t xml:space="preserve"> </w:t>
      </w:r>
      <w:r w:rsidRPr="00A11646">
        <w:rPr>
          <w:color w:val="auto"/>
        </w:rPr>
        <w:t xml:space="preserve">данным литературы заболевание чаще регистрируется среди мужчин [31, с. 25-35]. Данное расхождение соотношения в нашем исследовании возможно связано с методом случайной выборки больных ММ. </w:t>
      </w:r>
    </w:p>
    <w:p w:rsidR="00190E3E" w:rsidRPr="00A11646" w:rsidRDefault="00190E3E" w:rsidP="00190E3E">
      <w:pPr>
        <w:pStyle w:val="a3"/>
        <w:spacing w:line="360" w:lineRule="auto"/>
        <w:ind w:firstLine="709"/>
        <w:jc w:val="both"/>
        <w:rPr>
          <w:color w:val="auto"/>
        </w:rPr>
      </w:pPr>
      <w:r w:rsidRPr="00A11646">
        <w:rPr>
          <w:color w:val="auto"/>
        </w:rPr>
        <w:t>Вариация возраста больных составила от 28 до 80 лет (медиана 55,3 ± 2,3 лет). В соответствие с половым различием средний возраст мужчин составил 52,7± 3,5 лет, у женщин – 54,9 ± 3,03 лет. Таким образом, среди изученных параметров выявлено, что ММ заболевают лица всех возрастных групп взрослого населения с преобладанием лиц женского пола в возрасте после 50 лет.</w:t>
      </w:r>
    </w:p>
    <w:p w:rsidR="00190E3E" w:rsidRPr="00A11646" w:rsidRDefault="00190E3E" w:rsidP="00190E3E">
      <w:pPr>
        <w:pStyle w:val="a3"/>
        <w:spacing w:line="360" w:lineRule="auto"/>
        <w:ind w:firstLine="709"/>
        <w:jc w:val="both"/>
        <w:rPr>
          <w:color w:val="auto"/>
        </w:rPr>
      </w:pPr>
      <w:r w:rsidRPr="00A11646">
        <w:rPr>
          <w:rFonts w:eastAsia="Calibri"/>
          <w:color w:val="auto"/>
          <w:lang w:val="uz-Cyrl-UZ"/>
        </w:rPr>
        <w:t xml:space="preserve">На этапе верификации диагноза у больных ММ в соответствие со </w:t>
      </w:r>
      <w:r w:rsidRPr="00A11646">
        <w:rPr>
          <w:rFonts w:eastAsia="Calibri"/>
          <w:color w:val="auto"/>
        </w:rPr>
        <w:t xml:space="preserve">стадийной классификацией G.M. Durie и S.E. Salmon (1975) </w:t>
      </w:r>
      <w:r w:rsidRPr="00A11646">
        <w:rPr>
          <w:rFonts w:eastAsia="Calibri"/>
          <w:color w:val="auto"/>
          <w:lang w:val="uz-Cyrl-UZ"/>
        </w:rPr>
        <w:t xml:space="preserve">определялась стадия заболевания. </w:t>
      </w:r>
      <w:r w:rsidRPr="00A11646">
        <w:rPr>
          <w:rFonts w:eastAsia="Calibri"/>
          <w:color w:val="auto"/>
        </w:rPr>
        <w:t xml:space="preserve">Анализируя результаты определения стадии ММ выявлено, что количество больных со </w:t>
      </w:r>
      <w:r w:rsidRPr="00A11646">
        <w:rPr>
          <w:rFonts w:eastAsia="Calibri"/>
          <w:color w:val="auto"/>
          <w:lang w:val="en-US"/>
        </w:rPr>
        <w:t>II</w:t>
      </w:r>
      <w:r w:rsidRPr="00A11646">
        <w:rPr>
          <w:rFonts w:eastAsia="Calibri"/>
          <w:color w:val="auto"/>
        </w:rPr>
        <w:t xml:space="preserve">  стадией составило –  16,8%, среди которых со </w:t>
      </w:r>
      <w:r w:rsidRPr="00A11646">
        <w:rPr>
          <w:rFonts w:eastAsia="Calibri"/>
          <w:color w:val="auto"/>
          <w:lang w:val="en-US"/>
        </w:rPr>
        <w:t>II</w:t>
      </w:r>
      <w:r w:rsidRPr="00A11646">
        <w:rPr>
          <w:rFonts w:eastAsia="Calibri"/>
          <w:color w:val="auto"/>
        </w:rPr>
        <w:t>«</w:t>
      </w:r>
      <w:r w:rsidRPr="00A11646">
        <w:rPr>
          <w:rFonts w:eastAsia="Calibri"/>
          <w:color w:val="auto"/>
          <w:lang w:val="uz-Cyrl-UZ"/>
        </w:rPr>
        <w:t>А</w:t>
      </w:r>
      <w:r w:rsidRPr="00A11646">
        <w:rPr>
          <w:rFonts w:eastAsia="Calibri"/>
          <w:color w:val="auto"/>
        </w:rPr>
        <w:t xml:space="preserve">» -  9,8%  и  со </w:t>
      </w:r>
      <w:r w:rsidRPr="00A11646">
        <w:rPr>
          <w:rFonts w:eastAsia="Calibri"/>
          <w:color w:val="auto"/>
          <w:lang w:val="en-US"/>
        </w:rPr>
        <w:t>II</w:t>
      </w:r>
      <w:r w:rsidRPr="00A11646">
        <w:rPr>
          <w:rFonts w:eastAsia="Calibri"/>
          <w:color w:val="auto"/>
        </w:rPr>
        <w:t xml:space="preserve"> «В»  - 7,3%, тогда как общее количество больных ММ с </w:t>
      </w:r>
      <w:r w:rsidRPr="00A11646">
        <w:rPr>
          <w:rFonts w:eastAsia="Calibri"/>
          <w:color w:val="auto"/>
          <w:lang w:val="en-US"/>
        </w:rPr>
        <w:t>III</w:t>
      </w:r>
      <w:r w:rsidRPr="00A11646">
        <w:rPr>
          <w:rFonts w:eastAsia="Calibri"/>
          <w:color w:val="auto"/>
          <w:lang w:val="uz-Cyrl-UZ"/>
        </w:rPr>
        <w:t xml:space="preserve"> стадией составило </w:t>
      </w:r>
      <w:r w:rsidRPr="00A11646">
        <w:rPr>
          <w:rFonts w:eastAsia="Calibri"/>
          <w:color w:val="auto"/>
        </w:rPr>
        <w:t xml:space="preserve"> -  83,2%, из них с </w:t>
      </w:r>
      <w:r w:rsidRPr="00A11646">
        <w:rPr>
          <w:rFonts w:eastAsia="Calibri"/>
          <w:color w:val="auto"/>
          <w:lang w:val="en-US"/>
        </w:rPr>
        <w:t>III</w:t>
      </w:r>
      <w:r w:rsidRPr="00A11646">
        <w:rPr>
          <w:rFonts w:eastAsia="Calibri"/>
          <w:color w:val="auto"/>
        </w:rPr>
        <w:t xml:space="preserve"> «А» - 41,1%   и  </w:t>
      </w:r>
      <w:r w:rsidRPr="00A11646">
        <w:rPr>
          <w:rFonts w:eastAsia="Calibri"/>
          <w:color w:val="auto"/>
          <w:lang w:val="en-US"/>
        </w:rPr>
        <w:t>III</w:t>
      </w:r>
      <w:r w:rsidRPr="00A11646">
        <w:rPr>
          <w:rFonts w:eastAsia="Calibri"/>
          <w:color w:val="auto"/>
        </w:rPr>
        <w:t xml:space="preserve"> «В» - 42,1%. Из этого очевидно, что к</w:t>
      </w:r>
      <w:r w:rsidRPr="00A11646">
        <w:rPr>
          <w:color w:val="auto"/>
        </w:rPr>
        <w:t xml:space="preserve">оличество больных ММ с </w:t>
      </w:r>
      <w:r w:rsidRPr="00A11646">
        <w:rPr>
          <w:color w:val="auto"/>
          <w:lang w:val="en-US"/>
        </w:rPr>
        <w:t>III</w:t>
      </w:r>
      <w:r w:rsidRPr="00A11646">
        <w:rPr>
          <w:color w:val="auto"/>
        </w:rPr>
        <w:t xml:space="preserve">стадией заболевания превышало в 4,9 раз таковое со </w:t>
      </w:r>
      <w:r w:rsidRPr="00A11646">
        <w:rPr>
          <w:color w:val="auto"/>
          <w:lang w:val="en-US"/>
        </w:rPr>
        <w:t>II</w:t>
      </w:r>
      <w:r w:rsidRPr="00A11646">
        <w:rPr>
          <w:color w:val="auto"/>
        </w:rPr>
        <w:t xml:space="preserve"> стадией, что свидетельствует об обращении большего процента больных в тяжелом состоянии.</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Применение высокотехнологичных методов в диагностике больных ММ, а именно определение иммунохимического варианта  заболевания, посредством проведения типирования на иммуноглобулины позволило определить среди обследованных больных у 45,2%  вариант IgG κ,  у 21,0% - IgG λ, у 6,5% - IgA κ, у 11,3% -IgА λ, а также у 16,0% - редкие варианты: сочетание IgGκ + IgAλ (5,6%), IgGλ+IgМκ (0,8%) и</w:t>
      </w:r>
      <w:r w:rsidRPr="00A11646">
        <w:rPr>
          <w:color w:val="auto"/>
          <w:lang w:val="en-US"/>
        </w:rPr>
        <w:t>Gλ</w:t>
      </w:r>
      <w:r w:rsidRPr="00A11646">
        <w:rPr>
          <w:color w:val="auto"/>
        </w:rPr>
        <w:t>+</w:t>
      </w:r>
      <w:r w:rsidRPr="00A11646">
        <w:rPr>
          <w:color w:val="auto"/>
          <w:lang w:val="en-US"/>
        </w:rPr>
        <w:t>Mκ</w:t>
      </w:r>
      <w:r w:rsidRPr="00A11646">
        <w:rPr>
          <w:color w:val="auto"/>
        </w:rPr>
        <w:t xml:space="preserve"> (0,8%)</w:t>
      </w:r>
      <w:r w:rsidRPr="00A11646">
        <w:rPr>
          <w:color w:val="auto"/>
          <w:lang w:val="uz-Cyrl-UZ"/>
        </w:rPr>
        <w:t xml:space="preserve">, сочетание  Gκ+Aλ+ свободной легкой  цепи 2 λ (0,8%), IgGκ и свободной легкой цепи λ  (1,6%) - IgАκ и свободной легкой цепи λ (0,8%), варианты со свободными легкими цепями  λ (4,8%)  и  κ  (0,8%). Таким образом, встречаемость ММ IgGκ превышала таковую среди других вариантов, в </w:t>
      </w:r>
      <w:r w:rsidRPr="00A11646">
        <w:rPr>
          <w:color w:val="auto"/>
          <w:lang w:val="uz-Cyrl-UZ"/>
        </w:rPr>
        <w:lastRenderedPageBreak/>
        <w:t xml:space="preserve">соотношении с IgGλ - 2,2:1, IgAκ - 7:1, IgAλ - 4:1 и с редкими вариантами - 2,8:1.  </w:t>
      </w:r>
    </w:p>
    <w:p w:rsidR="00190E3E" w:rsidRPr="00A11646" w:rsidRDefault="00190E3E" w:rsidP="00190E3E">
      <w:pPr>
        <w:pStyle w:val="a3"/>
        <w:spacing w:line="360" w:lineRule="auto"/>
        <w:ind w:firstLine="709"/>
        <w:jc w:val="both"/>
        <w:rPr>
          <w:color w:val="auto"/>
        </w:rPr>
      </w:pPr>
      <w:r w:rsidRPr="00A11646">
        <w:rPr>
          <w:color w:val="auto"/>
        </w:rPr>
        <w:t xml:space="preserve">По литературным данным частота встречаемости </w:t>
      </w:r>
      <w:r w:rsidRPr="00A11646">
        <w:rPr>
          <w:color w:val="auto"/>
          <w:lang w:val="en-US"/>
        </w:rPr>
        <w:t>G</w:t>
      </w:r>
      <w:r w:rsidRPr="00A11646">
        <w:rPr>
          <w:color w:val="auto"/>
        </w:rPr>
        <w:t xml:space="preserve">-  и А - миеломы составляют 55-65% и 20-25%, соответственно [7, с.140]. Тогда как по нашим данным встречаемость </w:t>
      </w:r>
      <w:r w:rsidRPr="00A11646">
        <w:rPr>
          <w:color w:val="auto"/>
          <w:lang w:val="en-US"/>
        </w:rPr>
        <w:t>G</w:t>
      </w:r>
      <w:r w:rsidRPr="00A11646">
        <w:rPr>
          <w:color w:val="auto"/>
        </w:rPr>
        <w:t xml:space="preserve"> - миеломы составила 66,1%, а А - миеломы -17,7%. Из этих данных очевидно, что встречаемость А-миеломы в Узбекистане в 1,13 раз меньше в сравнение с таковой приведенной в литературе.</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Клинические проявления у обследованных больных ММ характеризовались в 100,0% случаев наличием болей в костях (оссалгии), в 81,5% случаев - патологических переломов костей скелета (</w:t>
      </w:r>
      <w:r w:rsidRPr="00A11646">
        <w:rPr>
          <w:color w:val="auto"/>
        </w:rPr>
        <w:t xml:space="preserve">чаще при </w:t>
      </w:r>
      <w:r w:rsidRPr="00A11646">
        <w:rPr>
          <w:color w:val="auto"/>
          <w:lang w:val="en-US"/>
        </w:rPr>
        <w:t>IgA</w:t>
      </w:r>
      <w:r w:rsidRPr="00A11646">
        <w:rPr>
          <w:color w:val="auto"/>
        </w:rPr>
        <w:t xml:space="preserve">λ -  92,9% и </w:t>
      </w:r>
      <w:r w:rsidRPr="00A11646">
        <w:rPr>
          <w:color w:val="auto"/>
          <w:lang w:val="en-US"/>
        </w:rPr>
        <w:t>IgA</w:t>
      </w:r>
      <w:r w:rsidRPr="00A11646">
        <w:rPr>
          <w:color w:val="auto"/>
        </w:rPr>
        <w:t>κ - 87,5%)</w:t>
      </w:r>
      <w:r w:rsidRPr="00A11646">
        <w:rPr>
          <w:color w:val="auto"/>
          <w:lang w:val="uz-Cyrl-UZ"/>
        </w:rPr>
        <w:t>, в 33,1% случаев -инфекционных осложнений (</w:t>
      </w:r>
      <w:bookmarkStart w:id="239" w:name="_Hlk7086100"/>
      <w:r w:rsidRPr="00A11646">
        <w:rPr>
          <w:color w:val="auto"/>
          <w:lang w:val="uz-Cyrl-UZ"/>
        </w:rPr>
        <w:t>чаще при IgGλ, IgAκ и IgAλ - 50,0%, а реже всего при IgGκ -21,4%</w:t>
      </w:r>
      <w:bookmarkEnd w:id="239"/>
      <w:r w:rsidRPr="00A11646">
        <w:rPr>
          <w:color w:val="auto"/>
          <w:lang w:val="uz-Cyrl-UZ"/>
        </w:rPr>
        <w:t>), в 46,7% случаев - хронической почечной недостаточностью (чаще при IgGκ – 51,8% и IgAλ - 50,0%) и в 12,1% случаев - экстрамедулярными проявлениями плазмоцитомы (чаще при IgGκ -19,6% и  IgGλ -15,4%, и не выявлялись при IgАκ   и  IgАλ).</w:t>
      </w:r>
      <w:r w:rsidR="00925D2B" w:rsidRPr="00925D2B">
        <w:rPr>
          <w:color w:val="auto"/>
        </w:rPr>
        <w:t xml:space="preserve"> </w:t>
      </w:r>
      <w:r w:rsidRPr="00A11646">
        <w:rPr>
          <w:color w:val="auto"/>
          <w:lang w:val="uz-Cyrl-UZ"/>
        </w:rPr>
        <w:t xml:space="preserve">У больных ММ также отмечался и анемический синдром различной степени тяжести. Следует отметить тяжелая степень анемии чаще  наблюдалась у больных ММ с иммунохимическим вариантом IgGλ (50,0%),  IgАλ (42,9%) и редких типах иммуноглобулина (40,0%). Данный факт свидетельствует, что иммунохимический вариант с наличием легкой цепи «λ» и редких типов иммуноглобулина имеют наиболее тяжелое течение в сравнении с вариантами с наличием «κ». </w:t>
      </w:r>
      <w:bookmarkStart w:id="240" w:name="_Hlk5094237"/>
      <w:r w:rsidRPr="00A11646">
        <w:rPr>
          <w:color w:val="auto"/>
        </w:rPr>
        <w:t xml:space="preserve">Наличие у больных ХПН и анемии, а также очагов экстрамедулярного поражения является критерием тяжелого течения и плохого прогноза  ММ в плане клинического течения, ответа на проводимую терапию, безрецидивной (БР) и общей выживаемости больных (ОВБ). </w:t>
      </w:r>
    </w:p>
    <w:p w:rsidR="00190E3E" w:rsidRPr="00A11646" w:rsidRDefault="00190E3E" w:rsidP="00190E3E">
      <w:pPr>
        <w:pStyle w:val="a3"/>
        <w:spacing w:line="360" w:lineRule="auto"/>
        <w:ind w:firstLine="709"/>
        <w:jc w:val="both"/>
        <w:rPr>
          <w:color w:val="auto"/>
        </w:rPr>
      </w:pPr>
      <w:bookmarkStart w:id="241" w:name="_Hlk5094278"/>
      <w:bookmarkEnd w:id="240"/>
      <w:r w:rsidRPr="00A11646">
        <w:rPr>
          <w:color w:val="auto"/>
          <w:lang w:val="uz-Cyrl-UZ"/>
        </w:rPr>
        <w:t xml:space="preserve">Изучение общего клинического анализ крови  и состояния  костного мозга имеют весомое значение в диагностике ММ. Проведение этих </w:t>
      </w:r>
      <w:r w:rsidRPr="00A11646">
        <w:rPr>
          <w:color w:val="auto"/>
          <w:lang w:val="uz-Cyrl-UZ"/>
        </w:rPr>
        <w:lastRenderedPageBreak/>
        <w:t xml:space="preserve">методов исследования позволяют выявить наличие ММ, определить стадию и прогноз течения заболевавния. Среди всех </w:t>
      </w:r>
      <w:r w:rsidRPr="00A11646">
        <w:rPr>
          <w:color w:val="auto"/>
        </w:rPr>
        <w:t>(</w:t>
      </w:r>
      <w:r w:rsidRPr="00A11646">
        <w:rPr>
          <w:color w:val="auto"/>
          <w:lang w:val="en-US"/>
        </w:rPr>
        <w:t>n</w:t>
      </w:r>
      <w:r w:rsidRPr="00A11646">
        <w:rPr>
          <w:color w:val="auto"/>
        </w:rPr>
        <w:t>=124) всех обследованных больных</w:t>
      </w:r>
      <w:r w:rsidRPr="00A11646">
        <w:rPr>
          <w:color w:val="auto"/>
          <w:lang w:val="uz-Cyrl-UZ"/>
        </w:rPr>
        <w:t xml:space="preserve"> у 90,2% пациентов на момент первичного установления диагноза отмечалось снижение уровня гемоглобина </w:t>
      </w:r>
      <w:r w:rsidRPr="00A11646">
        <w:rPr>
          <w:color w:val="auto"/>
        </w:rPr>
        <w:t>(</w:t>
      </w:r>
      <w:r w:rsidRPr="00A11646">
        <w:rPr>
          <w:color w:val="auto"/>
          <w:lang w:val="en-US"/>
        </w:rPr>
        <w:t>Hb</w:t>
      </w:r>
      <w:r w:rsidRPr="00A11646">
        <w:rPr>
          <w:color w:val="auto"/>
        </w:rPr>
        <w:t>) и эритроцитов.</w:t>
      </w:r>
      <w:r w:rsidRPr="00A11646">
        <w:rPr>
          <w:color w:val="auto"/>
          <w:lang w:val="uz-Cyrl-UZ"/>
        </w:rPr>
        <w:t xml:space="preserve"> Анализируя данные  значений Hb и эритроцитов в зависимости от иммунохимического варианта ММ выявлено наибольшее снижение этих показателей среди больных с наличием легкой </w:t>
      </w:r>
      <w:r w:rsidRPr="00A11646">
        <w:rPr>
          <w:color w:val="auto"/>
        </w:rPr>
        <w:t>«</w:t>
      </w:r>
      <w:r w:rsidRPr="00A11646">
        <w:rPr>
          <w:color w:val="auto"/>
          <w:lang w:val="uz-Cyrl-UZ"/>
        </w:rPr>
        <w:t>λ</w:t>
      </w:r>
      <w:r w:rsidRPr="00A11646">
        <w:rPr>
          <w:color w:val="auto"/>
        </w:rPr>
        <w:t>»</w:t>
      </w:r>
      <w:r w:rsidRPr="00A11646">
        <w:rPr>
          <w:color w:val="auto"/>
          <w:lang w:val="uz-Cyrl-UZ"/>
        </w:rPr>
        <w:t xml:space="preserve">  цепью, в сравнении с наличием легкой цепи «κ» </w:t>
      </w:r>
      <w:r w:rsidRPr="00A11646">
        <w:rPr>
          <w:color w:val="auto"/>
        </w:rPr>
        <w:t>в 1,1 и  1,2 раза, соответственно (р&gt;0,05).</w:t>
      </w:r>
      <w:r w:rsidRPr="00A11646">
        <w:rPr>
          <w:color w:val="auto"/>
          <w:lang w:val="uz-Cyrl-UZ"/>
        </w:rPr>
        <w:t xml:space="preserve"> Такая же тенденция отмечалась и в отношении количества тромбоцитов, уровень которых </w:t>
      </w:r>
      <w:r w:rsidRPr="00A11646">
        <w:rPr>
          <w:color w:val="auto"/>
        </w:rPr>
        <w:t xml:space="preserve">у больных с легкой цепью </w:t>
      </w:r>
      <w:r w:rsidRPr="00A11646">
        <w:rPr>
          <w:color w:val="auto"/>
          <w:lang w:val="uz-Cyrl-UZ"/>
        </w:rPr>
        <w:t xml:space="preserve">«κ» в среднем в 1,2 раза превышал в отношении к таковым с легкой цепью </w:t>
      </w:r>
      <w:r w:rsidRPr="00A11646">
        <w:rPr>
          <w:color w:val="auto"/>
        </w:rPr>
        <w:t>«</w:t>
      </w:r>
      <w:r w:rsidRPr="00A11646">
        <w:rPr>
          <w:color w:val="auto"/>
          <w:lang w:val="uz-Cyrl-UZ"/>
        </w:rPr>
        <w:t>λ</w:t>
      </w:r>
      <w:r w:rsidRPr="00A11646">
        <w:rPr>
          <w:color w:val="auto"/>
        </w:rPr>
        <w:t>».</w:t>
      </w:r>
    </w:p>
    <w:p w:rsidR="00190E3E" w:rsidRPr="00A11646" w:rsidRDefault="00190E3E" w:rsidP="00190E3E">
      <w:pPr>
        <w:pStyle w:val="a3"/>
        <w:spacing w:line="360" w:lineRule="auto"/>
        <w:ind w:firstLine="709"/>
        <w:jc w:val="both"/>
        <w:rPr>
          <w:color w:val="auto"/>
        </w:rPr>
      </w:pPr>
      <w:r w:rsidRPr="00A11646">
        <w:rPr>
          <w:color w:val="auto"/>
        </w:rPr>
        <w:t xml:space="preserve">Средний уровень лейкоцитов не отличался от показателей в норме. Однако необходимо отметить, что у 32,3% </w:t>
      </w:r>
      <w:r w:rsidRPr="00A11646">
        <w:rPr>
          <w:color w:val="auto"/>
          <w:lang w:val="uz-Cyrl-UZ"/>
        </w:rPr>
        <w:t>больных</w:t>
      </w:r>
      <w:r w:rsidRPr="00A11646">
        <w:rPr>
          <w:color w:val="auto"/>
        </w:rPr>
        <w:t xml:space="preserve"> отмечалась лейкопения с уровнем лейкоцитов менее 4,0 Х 10</w:t>
      </w:r>
      <w:r w:rsidRPr="00A11646">
        <w:rPr>
          <w:color w:val="auto"/>
          <w:vertAlign w:val="superscript"/>
        </w:rPr>
        <w:t>9</w:t>
      </w:r>
      <w:r w:rsidRPr="00A11646">
        <w:rPr>
          <w:color w:val="auto"/>
        </w:rPr>
        <w:t>/л, нейтропения менее 1,0 Х 10</w:t>
      </w:r>
      <w:r w:rsidRPr="00A11646">
        <w:rPr>
          <w:color w:val="auto"/>
          <w:vertAlign w:val="superscript"/>
        </w:rPr>
        <w:t>9</w:t>
      </w:r>
      <w:r w:rsidRPr="00A11646">
        <w:rPr>
          <w:color w:val="auto"/>
        </w:rPr>
        <w:t xml:space="preserve">/л – у 2,4%. </w:t>
      </w:r>
    </w:p>
    <w:p w:rsidR="00190E3E" w:rsidRPr="00A11646" w:rsidRDefault="00190E3E" w:rsidP="00190E3E">
      <w:pPr>
        <w:pStyle w:val="a3"/>
        <w:spacing w:line="360" w:lineRule="auto"/>
        <w:ind w:firstLine="709"/>
        <w:jc w:val="both"/>
        <w:rPr>
          <w:color w:val="auto"/>
        </w:rPr>
      </w:pPr>
      <w:r w:rsidRPr="00A11646">
        <w:rPr>
          <w:color w:val="auto"/>
        </w:rPr>
        <w:t xml:space="preserve">Как результат повышения патологического белка у больных ММ выявлено </w:t>
      </w:r>
      <w:r w:rsidR="009D1100">
        <w:rPr>
          <w:color w:val="auto"/>
          <w:lang w:val="uz-Cyrl-UZ"/>
        </w:rPr>
        <w:t xml:space="preserve">повышение </w:t>
      </w:r>
      <w:r w:rsidRPr="00A11646">
        <w:rPr>
          <w:color w:val="auto"/>
        </w:rPr>
        <w:t>СОЭ среди всех больных (n=124) ММ, при этом наиболее высокие значения выявлены А -</w:t>
      </w:r>
      <w:r w:rsidR="0018726D">
        <w:rPr>
          <w:color w:val="auto"/>
          <w:lang w:val="uz-Cyrl-UZ"/>
        </w:rPr>
        <w:t xml:space="preserve"> </w:t>
      </w:r>
      <w:r w:rsidRPr="00A11646">
        <w:rPr>
          <w:color w:val="auto"/>
        </w:rPr>
        <w:t xml:space="preserve">миеломе, превышавшие таковые при </w:t>
      </w:r>
      <w:r w:rsidRPr="00A11646">
        <w:rPr>
          <w:color w:val="auto"/>
          <w:lang w:val="en-US"/>
        </w:rPr>
        <w:t>G</w:t>
      </w:r>
      <w:r w:rsidRPr="00A11646">
        <w:rPr>
          <w:color w:val="auto"/>
        </w:rPr>
        <w:t xml:space="preserve"> – миеломе и редких вариантах в 1,22 и 1,63 раза.</w:t>
      </w:r>
    </w:p>
    <w:p w:rsidR="00190E3E" w:rsidRPr="00A11646" w:rsidRDefault="00190E3E" w:rsidP="00190E3E">
      <w:pPr>
        <w:pStyle w:val="a3"/>
        <w:spacing w:line="360" w:lineRule="auto"/>
        <w:ind w:firstLine="709"/>
        <w:jc w:val="both"/>
        <w:rPr>
          <w:color w:val="auto"/>
        </w:rPr>
      </w:pPr>
      <w:r w:rsidRPr="00A11646">
        <w:rPr>
          <w:color w:val="auto"/>
        </w:rPr>
        <w:t xml:space="preserve">Результаты морфологического изучения мазка костного мозга у больных характеризовались повышением уровня плазмоцитов наиболее выраженным при   IgAλ (53,4±7,9%), что превысило количество плазмоцитов у больных с IgGκ в 1,4; с  IgGλ  в 1,5; с IgАκ – почти в 1,5; с редкими вариантами в 1,6 раз. </w:t>
      </w:r>
    </w:p>
    <w:p w:rsidR="00190E3E" w:rsidRPr="00A11646" w:rsidRDefault="00190E3E" w:rsidP="00190E3E">
      <w:pPr>
        <w:pStyle w:val="a3"/>
        <w:spacing w:line="360" w:lineRule="auto"/>
        <w:ind w:firstLine="709"/>
        <w:jc w:val="both"/>
        <w:rPr>
          <w:color w:val="auto"/>
        </w:rPr>
      </w:pPr>
      <w:r w:rsidRPr="00A11646">
        <w:rPr>
          <w:color w:val="auto"/>
        </w:rPr>
        <w:t>Таким образом, по уровню показателей периферической крови и содержания плазмоцитов в костном мозге можно судить о более агрессивном течении и неблагоприятном прогнозе варианта A – миеломы, в частности с наличием легкой цепи «λ».</w:t>
      </w:r>
    </w:p>
    <w:p w:rsidR="00B547C2" w:rsidRDefault="00190E3E" w:rsidP="00190E3E">
      <w:pPr>
        <w:pStyle w:val="a3"/>
        <w:spacing w:line="360" w:lineRule="auto"/>
        <w:ind w:firstLine="709"/>
        <w:jc w:val="both"/>
        <w:rPr>
          <w:color w:val="auto"/>
          <w:lang w:val="uz-Cyrl-UZ"/>
        </w:rPr>
      </w:pPr>
      <w:r w:rsidRPr="00A11646">
        <w:rPr>
          <w:color w:val="auto"/>
          <w:lang w:val="uz-Cyrl-UZ"/>
        </w:rPr>
        <w:t>Изучая</w:t>
      </w:r>
      <w:r w:rsidR="00B547C2">
        <w:rPr>
          <w:color w:val="auto"/>
          <w:lang w:val="uz-Cyrl-UZ"/>
        </w:rPr>
        <w:t xml:space="preserve"> </w:t>
      </w:r>
      <w:r w:rsidRPr="00A11646">
        <w:rPr>
          <w:color w:val="auto"/>
        </w:rPr>
        <w:t>биохимическ</w:t>
      </w:r>
      <w:r w:rsidRPr="00A11646">
        <w:rPr>
          <w:color w:val="auto"/>
          <w:lang w:val="uz-Cyrl-UZ"/>
        </w:rPr>
        <w:t xml:space="preserve">ие показатели </w:t>
      </w:r>
      <w:r w:rsidRPr="00A11646">
        <w:rPr>
          <w:color w:val="auto"/>
        </w:rPr>
        <w:t xml:space="preserve">крови на момент первичной постановки диагноза, мы получили </w:t>
      </w:r>
      <w:r w:rsidRPr="00A11646">
        <w:rPr>
          <w:color w:val="auto"/>
          <w:lang w:val="uz-Cyrl-UZ"/>
        </w:rPr>
        <w:t>результаты</w:t>
      </w:r>
      <w:r w:rsidRPr="00A11646">
        <w:rPr>
          <w:color w:val="auto"/>
        </w:rPr>
        <w:t xml:space="preserve">, характеризующиеся  </w:t>
      </w:r>
      <w:r w:rsidRPr="00A11646">
        <w:rPr>
          <w:color w:val="auto"/>
        </w:rPr>
        <w:lastRenderedPageBreak/>
        <w:t>наличием повышенного количества общего белка, γ – и β</w:t>
      </w:r>
      <w:r w:rsidRPr="00A11646">
        <w:rPr>
          <w:color w:val="auto"/>
          <w:vertAlign w:val="subscript"/>
        </w:rPr>
        <w:t>2</w:t>
      </w:r>
      <w:r w:rsidRPr="00A11646">
        <w:rPr>
          <w:color w:val="auto"/>
        </w:rPr>
        <w:t xml:space="preserve"> – микроглобулинов, уровня креатинина и мочевины. Самый высокий уровень общего белка в крови выявлен при варианте </w:t>
      </w:r>
      <w:r w:rsidRPr="00A11646">
        <w:rPr>
          <w:color w:val="auto"/>
          <w:lang w:val="en-US"/>
        </w:rPr>
        <w:t>Ig</w:t>
      </w:r>
      <w:r w:rsidRPr="00A11646">
        <w:rPr>
          <w:color w:val="auto"/>
          <w:lang w:val="uz-Cyrl-UZ"/>
        </w:rPr>
        <w:t>А</w:t>
      </w:r>
      <w:r w:rsidRPr="00A11646">
        <w:rPr>
          <w:color w:val="auto"/>
        </w:rPr>
        <w:t xml:space="preserve">κ (116,7±8,9 г/л), который превышал таковой при варианте </w:t>
      </w:r>
      <w:r w:rsidRPr="00A11646">
        <w:rPr>
          <w:color w:val="auto"/>
          <w:lang w:val="en-US"/>
        </w:rPr>
        <w:t>IgG</w:t>
      </w:r>
      <w:r w:rsidRPr="00A11646">
        <w:rPr>
          <w:color w:val="auto"/>
        </w:rPr>
        <w:t xml:space="preserve"> κ</w:t>
      </w:r>
      <w:r w:rsidRPr="00A11646">
        <w:rPr>
          <w:color w:val="auto"/>
          <w:lang w:val="uz-Cyrl-UZ"/>
        </w:rPr>
        <w:t xml:space="preserve"> в 1,12; </w:t>
      </w:r>
      <w:r w:rsidRPr="00A11646">
        <w:rPr>
          <w:color w:val="auto"/>
          <w:lang w:val="en-US"/>
        </w:rPr>
        <w:t>IgG</w:t>
      </w:r>
      <w:r w:rsidRPr="00A11646">
        <w:rPr>
          <w:color w:val="auto"/>
        </w:rPr>
        <w:t xml:space="preserve">λ </w:t>
      </w:r>
      <w:r w:rsidRPr="00A11646">
        <w:rPr>
          <w:color w:val="auto"/>
          <w:lang w:val="uz-Cyrl-UZ"/>
        </w:rPr>
        <w:t xml:space="preserve">в 1,1; </w:t>
      </w:r>
      <w:r w:rsidRPr="00A11646">
        <w:rPr>
          <w:color w:val="auto"/>
          <w:lang w:val="en-US"/>
        </w:rPr>
        <w:t>IgA</w:t>
      </w:r>
      <w:r w:rsidRPr="00A11646">
        <w:rPr>
          <w:color w:val="auto"/>
        </w:rPr>
        <w:t xml:space="preserve"> λ</w:t>
      </w:r>
      <w:r w:rsidRPr="00A11646">
        <w:rPr>
          <w:color w:val="auto"/>
          <w:lang w:val="uz-Cyrl-UZ"/>
        </w:rPr>
        <w:t xml:space="preserve"> в 1,3 и при редких вариантах в 1,35 раз. </w:t>
      </w:r>
    </w:p>
    <w:p w:rsidR="00190E3E" w:rsidRPr="00A11646" w:rsidRDefault="00190E3E" w:rsidP="00190E3E">
      <w:pPr>
        <w:pStyle w:val="a3"/>
        <w:spacing w:line="360" w:lineRule="auto"/>
        <w:ind w:firstLine="709"/>
        <w:jc w:val="both"/>
        <w:rPr>
          <w:color w:val="auto"/>
        </w:rPr>
      </w:pPr>
      <w:r w:rsidRPr="00A11646">
        <w:rPr>
          <w:color w:val="auto"/>
        </w:rPr>
        <w:t xml:space="preserve">Уровень γ- микроглобулина у больных с А-миеломой превысил уровень при </w:t>
      </w:r>
      <w:r w:rsidRPr="00A11646">
        <w:rPr>
          <w:color w:val="auto"/>
          <w:lang w:val="en-US"/>
        </w:rPr>
        <w:t>G</w:t>
      </w:r>
      <w:r w:rsidRPr="00A11646">
        <w:rPr>
          <w:color w:val="auto"/>
          <w:lang w:val="uz-Cyrl-UZ"/>
        </w:rPr>
        <w:t xml:space="preserve"> - миеломе и редких вариантах в 1,35 и 1,6 раза соответственно, тогда как количество </w:t>
      </w:r>
      <w:r w:rsidRPr="00A11646">
        <w:rPr>
          <w:color w:val="auto"/>
        </w:rPr>
        <w:t>β</w:t>
      </w:r>
      <w:r w:rsidRPr="00A11646">
        <w:rPr>
          <w:color w:val="auto"/>
          <w:vertAlign w:val="subscript"/>
          <w:lang w:val="uz-Cyrl-UZ"/>
        </w:rPr>
        <w:t>2</w:t>
      </w:r>
      <w:r w:rsidRPr="00A11646">
        <w:rPr>
          <w:color w:val="auto"/>
        </w:rPr>
        <w:t>- микроглобулина имело самые высокие значения при редких вариантах ММ (19,3±3,5%), а наименьшие А- миеломе (11,8±3,9 %).</w:t>
      </w:r>
    </w:p>
    <w:p w:rsidR="00190E3E" w:rsidRPr="00A11646" w:rsidRDefault="00190E3E" w:rsidP="00190E3E">
      <w:pPr>
        <w:pStyle w:val="a3"/>
        <w:spacing w:line="360" w:lineRule="auto"/>
        <w:ind w:firstLine="709"/>
        <w:jc w:val="both"/>
        <w:rPr>
          <w:color w:val="auto"/>
        </w:rPr>
      </w:pPr>
      <w:r w:rsidRPr="00A11646">
        <w:rPr>
          <w:color w:val="auto"/>
        </w:rPr>
        <w:t xml:space="preserve">Практически у всех обследованных больных ММ в крови выявлен повышенный уровень креатинина, наибольшее его повышение зарегистрировано у больных редкими типами </w:t>
      </w:r>
      <w:r w:rsidRPr="00A11646">
        <w:rPr>
          <w:color w:val="auto"/>
          <w:lang w:val="en-US"/>
        </w:rPr>
        <w:t>Ig</w:t>
      </w:r>
      <w:r w:rsidRPr="00A11646">
        <w:rPr>
          <w:color w:val="auto"/>
        </w:rPr>
        <w:t xml:space="preserve"> (164,6±41,3; </w:t>
      </w:r>
      <w:r w:rsidRPr="00A11646">
        <w:rPr>
          <w:color w:val="auto"/>
          <w:lang w:val="uz-Cyrl-UZ"/>
        </w:rPr>
        <w:t>р</w:t>
      </w:r>
      <w:r w:rsidRPr="00A11646">
        <w:rPr>
          <w:color w:val="auto"/>
        </w:rPr>
        <w:t>&lt;0,05</w:t>
      </w:r>
      <w:r w:rsidRPr="00A11646">
        <w:rPr>
          <w:color w:val="auto"/>
          <w:lang w:val="uz-Cyrl-UZ"/>
        </w:rPr>
        <w:t xml:space="preserve">) </w:t>
      </w:r>
      <w:r w:rsidRPr="00A11646">
        <w:rPr>
          <w:color w:val="auto"/>
        </w:rPr>
        <w:t xml:space="preserve">и </w:t>
      </w:r>
      <w:r w:rsidRPr="00A11646">
        <w:rPr>
          <w:color w:val="auto"/>
          <w:lang w:val="en-US"/>
        </w:rPr>
        <w:t>IgG</w:t>
      </w:r>
      <w:r w:rsidRPr="00A11646">
        <w:rPr>
          <w:color w:val="auto"/>
        </w:rPr>
        <w:t xml:space="preserve">λ (148,7+35,0; </w:t>
      </w:r>
      <w:r w:rsidRPr="00A11646">
        <w:rPr>
          <w:color w:val="auto"/>
          <w:lang w:val="uz-Cyrl-UZ"/>
        </w:rPr>
        <w:t>р</w:t>
      </w:r>
      <w:r w:rsidRPr="00A11646">
        <w:rPr>
          <w:color w:val="auto"/>
        </w:rPr>
        <w:t>&lt;0,05</w:t>
      </w:r>
      <w:r w:rsidRPr="00A11646">
        <w:rPr>
          <w:color w:val="auto"/>
          <w:lang w:val="uz-Cyrl-UZ"/>
        </w:rPr>
        <w:t xml:space="preserve">), а нименьшее значение определялось при </w:t>
      </w:r>
      <w:r w:rsidRPr="00A11646">
        <w:rPr>
          <w:color w:val="auto"/>
          <w:lang w:val="en-US"/>
        </w:rPr>
        <w:t>IgG</w:t>
      </w:r>
      <w:r w:rsidRPr="00A11646">
        <w:rPr>
          <w:color w:val="auto"/>
        </w:rPr>
        <w:t xml:space="preserve"> κ (98,6+4,8; </w:t>
      </w:r>
      <w:r w:rsidRPr="00A11646">
        <w:rPr>
          <w:color w:val="auto"/>
          <w:lang w:val="uz-Cyrl-UZ"/>
        </w:rPr>
        <w:t>р</w:t>
      </w:r>
      <w:r w:rsidRPr="00A11646">
        <w:rPr>
          <w:color w:val="auto"/>
        </w:rPr>
        <w:t>&lt;0,001</w:t>
      </w:r>
      <w:r w:rsidRPr="00A11646">
        <w:rPr>
          <w:color w:val="auto"/>
          <w:lang w:val="uz-Cyrl-UZ"/>
        </w:rPr>
        <w:t xml:space="preserve">). </w:t>
      </w:r>
      <w:r w:rsidRPr="00A11646">
        <w:rPr>
          <w:color w:val="auto"/>
        </w:rPr>
        <w:t>Оценка уровня мочевины в зависимости от иммунохимического варианта ММ показало наибольшее его повышение у больных IgGλ (12,6±1,6; р&lt;0,001), который превышал таковой показатель при IgGκ  в 1,4, при IgАκ  в 1,3, при IgАλ в 1,2 и при редких вариантах Ig 1,3 раза.</w:t>
      </w:r>
    </w:p>
    <w:p w:rsidR="00190E3E" w:rsidRPr="00A11646" w:rsidRDefault="00190E3E" w:rsidP="00190E3E">
      <w:pPr>
        <w:pStyle w:val="a3"/>
        <w:spacing w:line="360" w:lineRule="auto"/>
        <w:ind w:firstLine="709"/>
        <w:jc w:val="both"/>
        <w:rPr>
          <w:color w:val="auto"/>
        </w:rPr>
      </w:pPr>
      <w:r w:rsidRPr="00A11646">
        <w:rPr>
          <w:color w:val="auto"/>
        </w:rPr>
        <w:t xml:space="preserve">Обобщая выявленные изменения со стороны уровня показателей креатинина и мочевины, следует отметить, что основной причиной их повышения является миеломная нефропатия у больных ММ, которая формируется как следствие результата отложения патологического белка в   канальцах нефрона почек. В свою очередь у больных развивается почечная недостаточность, что оказывает </w:t>
      </w:r>
      <w:r w:rsidR="009718ED" w:rsidRPr="00A11646">
        <w:rPr>
          <w:color w:val="auto"/>
        </w:rPr>
        <w:t>влияние,</w:t>
      </w:r>
      <w:r w:rsidRPr="00A11646">
        <w:rPr>
          <w:color w:val="auto"/>
        </w:rPr>
        <w:t xml:space="preserve"> на их общую выживаемость непосредственно приводя к ее снижению </w:t>
      </w:r>
      <w:r w:rsidRPr="00A11646">
        <w:rPr>
          <w:rFonts w:eastAsia="Calibri"/>
          <w:color w:val="auto"/>
        </w:rPr>
        <w:t>[7, с.140]</w:t>
      </w:r>
      <w:r w:rsidRPr="00A11646">
        <w:rPr>
          <w:color w:val="auto"/>
        </w:rPr>
        <w:t xml:space="preserve">. </w:t>
      </w:r>
    </w:p>
    <w:p w:rsidR="00190E3E" w:rsidRPr="00A11646" w:rsidRDefault="00190E3E" w:rsidP="00190E3E">
      <w:pPr>
        <w:pStyle w:val="a3"/>
        <w:spacing w:line="360" w:lineRule="auto"/>
        <w:ind w:firstLine="709"/>
        <w:jc w:val="both"/>
        <w:rPr>
          <w:color w:val="auto"/>
        </w:rPr>
      </w:pPr>
      <w:r w:rsidRPr="00A11646">
        <w:rPr>
          <w:color w:val="auto"/>
        </w:rPr>
        <w:t xml:space="preserve">Проведение биохимического анализа мочи позволило выявить форму ММ с белком Бенс-Джонса у 24 (19,4%) больных, которая является неблагоприятной формой заболевания как в плане течения, прогноза и лечения больных. </w:t>
      </w:r>
    </w:p>
    <w:p w:rsidR="00190E3E" w:rsidRPr="00A11646" w:rsidRDefault="00190E3E" w:rsidP="00190E3E">
      <w:pPr>
        <w:pStyle w:val="a3"/>
        <w:spacing w:line="360" w:lineRule="auto"/>
        <w:ind w:firstLine="709"/>
        <w:jc w:val="both"/>
        <w:rPr>
          <w:color w:val="auto"/>
          <w:lang w:val="uz-Cyrl-UZ"/>
        </w:rPr>
      </w:pPr>
      <w:r w:rsidRPr="00A11646">
        <w:rPr>
          <w:color w:val="auto"/>
        </w:rPr>
        <w:lastRenderedPageBreak/>
        <w:t xml:space="preserve">Анализ исследования мочи показал наличие протеинурии практически при всех иммунохимических вариантах ММ. Наиболее выраженная протеинурия зарегистрирована у больных с вариантом </w:t>
      </w:r>
      <w:r w:rsidRPr="00A11646">
        <w:rPr>
          <w:color w:val="auto"/>
          <w:lang w:val="en-US"/>
        </w:rPr>
        <w:t>IgA</w:t>
      </w:r>
      <w:r w:rsidRPr="00A11646">
        <w:rPr>
          <w:color w:val="auto"/>
          <w:lang w:val="uz-Cyrl-UZ"/>
        </w:rPr>
        <w:t>κ(</w:t>
      </w:r>
      <w:r w:rsidRPr="00A11646">
        <w:rPr>
          <w:color w:val="auto"/>
        </w:rPr>
        <w:t>1,2±0,46</w:t>
      </w:r>
      <w:r w:rsidRPr="00A11646">
        <w:rPr>
          <w:color w:val="auto"/>
          <w:lang w:val="uz-Cyrl-UZ"/>
        </w:rPr>
        <w:t xml:space="preserve">), </w:t>
      </w:r>
      <w:r w:rsidRPr="00A11646">
        <w:rPr>
          <w:color w:val="auto"/>
          <w:lang w:val="en-US"/>
        </w:rPr>
        <w:t>IgA</w:t>
      </w:r>
      <w:bookmarkStart w:id="242" w:name="_Hlk7280969"/>
      <w:r w:rsidRPr="00A11646">
        <w:rPr>
          <w:color w:val="auto"/>
          <w:lang w:val="uz-Cyrl-UZ"/>
        </w:rPr>
        <w:t xml:space="preserve">λ </w:t>
      </w:r>
      <w:bookmarkEnd w:id="242"/>
      <w:r w:rsidRPr="00A11646">
        <w:rPr>
          <w:color w:val="auto"/>
          <w:lang w:val="uz-Cyrl-UZ"/>
        </w:rPr>
        <w:t>(</w:t>
      </w:r>
      <w:r w:rsidRPr="00A11646">
        <w:rPr>
          <w:color w:val="auto"/>
        </w:rPr>
        <w:t>1,1±0,39</w:t>
      </w:r>
      <w:r w:rsidRPr="00A11646">
        <w:rPr>
          <w:color w:val="auto"/>
          <w:lang w:val="uz-Cyrl-UZ"/>
        </w:rPr>
        <w:t>) и редких вариантах (</w:t>
      </w:r>
      <w:r w:rsidRPr="00A11646">
        <w:rPr>
          <w:color w:val="auto"/>
        </w:rPr>
        <w:t>1,8±0,35</w:t>
      </w:r>
      <w:r w:rsidRPr="00A11646">
        <w:rPr>
          <w:color w:val="auto"/>
          <w:lang w:val="uz-Cyrl-UZ"/>
        </w:rPr>
        <w:t>).</w:t>
      </w:r>
    </w:p>
    <w:p w:rsidR="00190E3E" w:rsidRPr="00A11646" w:rsidRDefault="00190E3E" w:rsidP="00190E3E">
      <w:pPr>
        <w:pStyle w:val="a3"/>
        <w:spacing w:line="360" w:lineRule="auto"/>
        <w:ind w:firstLine="709"/>
        <w:jc w:val="both"/>
        <w:rPr>
          <w:color w:val="auto"/>
        </w:rPr>
      </w:pPr>
      <w:r w:rsidRPr="00A11646">
        <w:rPr>
          <w:color w:val="auto"/>
          <w:lang w:val="uz-Cyrl-UZ"/>
        </w:rPr>
        <w:t xml:space="preserve">Обобщая вышеприведенные данные мы определили, что неблагоприятными факторами прогноза является </w:t>
      </w:r>
      <w:r w:rsidRPr="00A11646">
        <w:rPr>
          <w:color w:val="auto"/>
        </w:rPr>
        <w:t>возраст больных ≥ 60 лет, IgA иммунохимический вариант ММ, наличие  легкой цепи «</w:t>
      </w:r>
      <w:r w:rsidRPr="00A11646">
        <w:rPr>
          <w:color w:val="auto"/>
          <w:lang w:val="uz-Cyrl-UZ"/>
        </w:rPr>
        <w:t>λ</w:t>
      </w:r>
      <w:r w:rsidRPr="00A11646">
        <w:rPr>
          <w:color w:val="auto"/>
        </w:rPr>
        <w:t>»</w:t>
      </w:r>
      <w:r w:rsidRPr="00A11646">
        <w:rPr>
          <w:color w:val="auto"/>
          <w:lang w:val="uz-Cyrl-UZ"/>
        </w:rPr>
        <w:t>,</w:t>
      </w:r>
      <w:r w:rsidRPr="00A11646">
        <w:rPr>
          <w:color w:val="auto"/>
        </w:rPr>
        <w:t xml:space="preserve"> уровень гемоглобина менее 100 г/л, в костном мозге более 5% плазматических клеток, количество общего белка ≥100 г/л, γ и β</w:t>
      </w:r>
      <w:r w:rsidRPr="00A11646">
        <w:rPr>
          <w:color w:val="auto"/>
          <w:vertAlign w:val="subscript"/>
        </w:rPr>
        <w:t>2</w:t>
      </w:r>
      <w:r w:rsidRPr="00A11646">
        <w:rPr>
          <w:color w:val="auto"/>
        </w:rPr>
        <w:t xml:space="preserve"> микроглобулинов ≥6 мг/л (p&lt;0,05), креатинина в сыворотке крови ≥177 мкмоль/л (p&lt;0,001).  </w:t>
      </w:r>
    </w:p>
    <w:p w:rsidR="00190E3E" w:rsidRPr="00A11646" w:rsidRDefault="00190E3E" w:rsidP="00190E3E">
      <w:pPr>
        <w:pStyle w:val="a3"/>
        <w:spacing w:line="360" w:lineRule="auto"/>
        <w:ind w:firstLine="709"/>
        <w:jc w:val="both"/>
        <w:rPr>
          <w:rFonts w:eastAsia="Calibri"/>
          <w:color w:val="auto"/>
        </w:rPr>
      </w:pPr>
      <w:r w:rsidRPr="00A11646">
        <w:rPr>
          <w:rFonts w:eastAsia="Calibri"/>
          <w:color w:val="auto"/>
        </w:rPr>
        <w:t>С целью оценки эффективности лечения проводилось динамическое наблюдение за больными с проведением всех методов исследования.</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Через 1 месяц после проведенной терапии клиническое оследование больных в обеих подгруппах показало значительное снижение процента и интенсивности оссалгии, инфекционных осложнений и экстрамедулярных проявлений. Новых патологических переломов среди больных не наблюдалось. Вместе с тем отмечалось улучшение почечной функции у больных ММ.</w:t>
      </w:r>
    </w:p>
    <w:p w:rsidR="00190E3E" w:rsidRPr="00A11646" w:rsidRDefault="00190E3E" w:rsidP="00190E3E">
      <w:pPr>
        <w:pStyle w:val="a3"/>
        <w:spacing w:line="360" w:lineRule="auto"/>
        <w:ind w:firstLine="709"/>
        <w:jc w:val="both"/>
        <w:rPr>
          <w:color w:val="auto"/>
        </w:rPr>
      </w:pPr>
      <w:r w:rsidRPr="00A11646">
        <w:rPr>
          <w:color w:val="auto"/>
          <w:lang w:val="uz-Cyrl-UZ"/>
        </w:rPr>
        <w:t xml:space="preserve">В “А” подгруппе оссалгия наблюдалась у 36,7%  больных (при варианте </w:t>
      </w:r>
      <w:r w:rsidRPr="00A11646">
        <w:rPr>
          <w:color w:val="auto"/>
          <w:lang w:val="en-US"/>
        </w:rPr>
        <w:t>IgG</w:t>
      </w:r>
      <w:r w:rsidRPr="00A11646">
        <w:rPr>
          <w:color w:val="auto"/>
        </w:rPr>
        <w:t xml:space="preserve">κ  у 6,9%; </w:t>
      </w:r>
      <w:r w:rsidRPr="00A11646">
        <w:rPr>
          <w:color w:val="auto"/>
          <w:lang w:val="en-US"/>
        </w:rPr>
        <w:t>IgG</w:t>
      </w:r>
      <w:r w:rsidRPr="00A11646">
        <w:rPr>
          <w:color w:val="auto"/>
        </w:rPr>
        <w:t xml:space="preserve">λ –10,3%; </w:t>
      </w:r>
      <w:r w:rsidRPr="00A11646">
        <w:rPr>
          <w:color w:val="auto"/>
          <w:lang w:val="en-US"/>
        </w:rPr>
        <w:t>IgA</w:t>
      </w:r>
      <w:r w:rsidRPr="00A11646">
        <w:rPr>
          <w:color w:val="auto"/>
        </w:rPr>
        <w:t xml:space="preserve">κ  - 1,2%;  </w:t>
      </w:r>
      <w:r w:rsidRPr="00A11646">
        <w:rPr>
          <w:color w:val="auto"/>
          <w:lang w:val="en-US"/>
        </w:rPr>
        <w:t>IgA</w:t>
      </w:r>
      <w:r w:rsidRPr="00A11646">
        <w:rPr>
          <w:color w:val="auto"/>
        </w:rPr>
        <w:t>λ -9,2%  и редких типах  у 9,2%. Инфекционные осложнения наблюдались у 8,0% больных ММ</w:t>
      </w:r>
      <w:r w:rsidR="000F239C" w:rsidRPr="000F239C">
        <w:rPr>
          <w:color w:val="auto"/>
        </w:rPr>
        <w:t xml:space="preserve"> </w:t>
      </w:r>
      <w:r w:rsidR="000F239C" w:rsidRPr="00A11646">
        <w:rPr>
          <w:color w:val="auto"/>
        </w:rPr>
        <w:t>в виде бронхита и пневмонии</w:t>
      </w:r>
      <w:r w:rsidRPr="00A11646">
        <w:rPr>
          <w:color w:val="auto"/>
        </w:rPr>
        <w:t>, выраженное нарушение почечной функции (ХПН) сре</w:t>
      </w:r>
      <w:r w:rsidR="000F239C">
        <w:rPr>
          <w:color w:val="auto"/>
        </w:rPr>
        <w:t>ди больных сохранялось у 21,8%.</w:t>
      </w:r>
      <w:r w:rsidR="000F239C">
        <w:rPr>
          <w:color w:val="auto"/>
          <w:lang w:val="uz-Cyrl-UZ"/>
        </w:rPr>
        <w:t xml:space="preserve"> </w:t>
      </w:r>
      <w:r w:rsidRPr="00A11646">
        <w:rPr>
          <w:color w:val="auto"/>
        </w:rPr>
        <w:t xml:space="preserve">Экстрамедулярные проявления ММ значительно снизились почти в 2 раза в сравнение с проявлениями до лечения, и сохранялись лишь у 6,9% в виде поражения мягких тканей лица, волосистой части головы (у пациентов с вариантом ММ IgGκ (2,3%) и </w:t>
      </w:r>
      <w:r w:rsidRPr="00A11646">
        <w:rPr>
          <w:color w:val="auto"/>
          <w:lang w:val="en-US"/>
        </w:rPr>
        <w:t>IgG</w:t>
      </w:r>
      <w:r w:rsidRPr="00A11646">
        <w:rPr>
          <w:color w:val="auto"/>
        </w:rPr>
        <w:t>λ (4,6%).</w:t>
      </w:r>
    </w:p>
    <w:p w:rsidR="00190E3E" w:rsidRPr="00A11646" w:rsidRDefault="00190E3E" w:rsidP="00190E3E">
      <w:pPr>
        <w:pStyle w:val="a3"/>
        <w:spacing w:line="360" w:lineRule="auto"/>
        <w:ind w:firstLine="709"/>
        <w:jc w:val="both"/>
        <w:rPr>
          <w:color w:val="auto"/>
        </w:rPr>
      </w:pPr>
      <w:r w:rsidRPr="00A11646">
        <w:rPr>
          <w:color w:val="auto"/>
        </w:rPr>
        <w:t xml:space="preserve">Клинический анализ в «Б» подгруппе в первые дни посттрансплантационного периода показал развитие ангины и обострение хронического бронхита у 5,0% больного, развитие тромбофлебита у 5,0% </w:t>
      </w:r>
      <w:r w:rsidRPr="00A11646">
        <w:rPr>
          <w:color w:val="auto"/>
        </w:rPr>
        <w:lastRenderedPageBreak/>
        <w:t>больного, бронхопневмония у 10,0% больных. Описанные инфекционные осложнения через 1 мес</w:t>
      </w:r>
      <w:r w:rsidR="00E17B63">
        <w:rPr>
          <w:color w:val="auto"/>
          <w:lang w:val="uz-Cyrl-UZ"/>
        </w:rPr>
        <w:t>яц</w:t>
      </w:r>
      <w:r w:rsidRPr="00A11646">
        <w:rPr>
          <w:color w:val="auto"/>
        </w:rPr>
        <w:t xml:space="preserve"> после проведения аутоТГСК не наблюдались.</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Положительная динамика наблюдалась также и в отношении выраженности и частоты анемического синдрома. Так в “А” подгруппе</w:t>
      </w:r>
      <w:r w:rsidRPr="00A11646">
        <w:rPr>
          <w:color w:val="auto"/>
        </w:rPr>
        <w:t xml:space="preserve"> тяжелая степень анемического синдрома регистрировалась у 13,7%, средняя у 21,8% и легкая степень у 42,5% больных. В подгруппе «Б» тяжелая степень анемического синдрома не регистрировалась, средняя степень отмечена у 5 25% и легкая у 55%.</w:t>
      </w:r>
    </w:p>
    <w:p w:rsidR="00190E3E" w:rsidRPr="00A11646" w:rsidRDefault="00190E3E" w:rsidP="00190E3E">
      <w:pPr>
        <w:pStyle w:val="a3"/>
        <w:spacing w:line="360" w:lineRule="auto"/>
        <w:ind w:firstLine="709"/>
        <w:jc w:val="both"/>
        <w:rPr>
          <w:color w:val="auto"/>
        </w:rPr>
      </w:pPr>
      <w:r w:rsidRPr="00A11646">
        <w:rPr>
          <w:color w:val="auto"/>
          <w:lang w:val="uz-Cyrl-UZ"/>
        </w:rPr>
        <w:t>Изучение уровня тромбоцитов после лечения при различных   иммунохимических вариантах ММ  позволило отметить положительную динамику этого показателя по отношению к значениям до лечения. Сравнительная оченка уровня тромбоцитов в зависимости от метода после лечения в “А”   и “Б” подгруппах не выявила значительной разницы.</w:t>
      </w:r>
    </w:p>
    <w:p w:rsidR="00190E3E" w:rsidRPr="00A11646" w:rsidRDefault="00190E3E" w:rsidP="00190E3E">
      <w:pPr>
        <w:pStyle w:val="a3"/>
        <w:spacing w:line="360" w:lineRule="auto"/>
        <w:ind w:firstLine="709"/>
        <w:jc w:val="both"/>
        <w:rPr>
          <w:color w:val="auto"/>
        </w:rPr>
      </w:pPr>
      <w:r w:rsidRPr="00A11646">
        <w:rPr>
          <w:color w:val="auto"/>
        </w:rPr>
        <w:t>Со стороны количества лейкоцитов средние значения сохранялись в пределах нормальных параметров как до лечения, так и после лечения.</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Сравнительный анализ  результатов уровня СОЭ у больных ММ в динамике определил довольно положительную тенденцию к ее снижению после лечения по отношению к исходным данным зарегистрированных до лечения</w:t>
      </w:r>
      <w:r w:rsidRPr="00A11646">
        <w:rPr>
          <w:color w:val="auto"/>
        </w:rPr>
        <w:t xml:space="preserve">. </w:t>
      </w:r>
      <w:r w:rsidRPr="00A11646">
        <w:rPr>
          <w:color w:val="auto"/>
          <w:lang w:val="uz-Cyrl-UZ"/>
        </w:rPr>
        <w:t>Снижение уровня СОЭ у больных после лечения в обеих подгруппах прежде всего связано со снижением опухолевого клона и снижением им продукции патологического белка, в свою очередь эти данные подчеркивают эффективность проведенного лечения.</w:t>
      </w:r>
    </w:p>
    <w:p w:rsidR="00190E3E" w:rsidRPr="00A11646" w:rsidRDefault="00190E3E" w:rsidP="00190E3E">
      <w:pPr>
        <w:pStyle w:val="a3"/>
        <w:spacing w:line="360" w:lineRule="auto"/>
        <w:ind w:firstLine="709"/>
        <w:jc w:val="both"/>
        <w:rPr>
          <w:color w:val="auto"/>
        </w:rPr>
      </w:pPr>
      <w:r w:rsidRPr="00A11646">
        <w:rPr>
          <w:color w:val="auto"/>
          <w:lang w:val="uz-Cyrl-UZ"/>
        </w:rPr>
        <w:t>Уровень плазматических клеток в костном мозге после лечения существенно снижался в обеих групп, однако наибольший эффект наблюдался в “Б” подгруппе</w:t>
      </w:r>
      <w:r w:rsidRPr="00A11646">
        <w:rPr>
          <w:color w:val="auto"/>
        </w:rPr>
        <w:t>.</w:t>
      </w:r>
    </w:p>
    <w:p w:rsidR="00190E3E" w:rsidRPr="00A11646" w:rsidRDefault="00190E3E" w:rsidP="00190E3E">
      <w:pPr>
        <w:pStyle w:val="a3"/>
        <w:spacing w:line="360" w:lineRule="auto"/>
        <w:ind w:firstLine="709"/>
        <w:jc w:val="both"/>
        <w:rPr>
          <w:color w:val="auto"/>
        </w:rPr>
      </w:pPr>
      <w:r w:rsidRPr="00A11646">
        <w:rPr>
          <w:color w:val="auto"/>
          <w:lang w:val="uz-Cyrl-UZ"/>
        </w:rPr>
        <w:t xml:space="preserve">Анализ результатов </w:t>
      </w:r>
      <w:r w:rsidRPr="00A11646">
        <w:rPr>
          <w:color w:val="auto"/>
        </w:rPr>
        <w:t>биохимических</w:t>
      </w:r>
      <w:r w:rsidRPr="00A11646">
        <w:rPr>
          <w:color w:val="auto"/>
          <w:lang w:val="uz-Cyrl-UZ"/>
        </w:rPr>
        <w:t xml:space="preserve"> показателей </w:t>
      </w:r>
      <w:r w:rsidRPr="00A11646">
        <w:rPr>
          <w:color w:val="auto"/>
        </w:rPr>
        <w:t>крови после лечения показал положительные динамические изменения по сравнению с результатами этих показателей до лечения. В обеих подгруппах «А» и «Б» эти сдвиги характеризовались снижением уровня общего белка, γ – и β</w:t>
      </w:r>
      <w:r w:rsidRPr="00A11646">
        <w:rPr>
          <w:color w:val="auto"/>
          <w:vertAlign w:val="subscript"/>
        </w:rPr>
        <w:t>2</w:t>
      </w:r>
      <w:r w:rsidRPr="00A11646">
        <w:rPr>
          <w:color w:val="auto"/>
        </w:rPr>
        <w:t xml:space="preserve"> – микроглобулинов, уровня креатинина, и мочевины. </w:t>
      </w:r>
    </w:p>
    <w:p w:rsidR="00190E3E" w:rsidRPr="00A11646" w:rsidRDefault="00190E3E" w:rsidP="00190E3E">
      <w:pPr>
        <w:pStyle w:val="a3"/>
        <w:spacing w:line="360" w:lineRule="auto"/>
        <w:ind w:firstLine="709"/>
        <w:jc w:val="both"/>
        <w:rPr>
          <w:color w:val="auto"/>
        </w:rPr>
      </w:pPr>
      <w:r w:rsidRPr="00A11646">
        <w:rPr>
          <w:color w:val="auto"/>
        </w:rPr>
        <w:lastRenderedPageBreak/>
        <w:t xml:space="preserve">В «А» и «Б» подгруппах больных уровень общего белка после лечения снизился до нормальных значений. </w:t>
      </w:r>
      <w:r w:rsidRPr="00A11646">
        <w:rPr>
          <w:color w:val="auto"/>
          <w:lang w:val="uz-Cyrl-UZ"/>
        </w:rPr>
        <w:t xml:space="preserve">Сравнивая значения этого показателя после лечения  в обеих изученных подгруппах выявлено, что между уровнем общего белка в “А” и “Б” подгруппах имеются отличия. Так разница в его снижении в подгруппе “Б” по отношению к “А” подгруппе  при варианте </w:t>
      </w:r>
      <w:r w:rsidRPr="00A11646">
        <w:rPr>
          <w:color w:val="auto"/>
          <w:lang w:val="en-US"/>
        </w:rPr>
        <w:t>IgGκ</w:t>
      </w:r>
      <w:r w:rsidRPr="00A11646">
        <w:rPr>
          <w:color w:val="auto"/>
        </w:rPr>
        <w:t xml:space="preserve"> составила 1,02 ( р&lt;0,01),  при </w:t>
      </w:r>
      <w:r w:rsidRPr="00A11646">
        <w:rPr>
          <w:color w:val="auto"/>
          <w:lang w:val="en-US"/>
        </w:rPr>
        <w:t>Ig</w:t>
      </w:r>
      <w:r w:rsidRPr="00A11646">
        <w:rPr>
          <w:color w:val="auto"/>
        </w:rPr>
        <w:t>А</w:t>
      </w:r>
      <w:r w:rsidRPr="00A11646">
        <w:rPr>
          <w:color w:val="auto"/>
          <w:lang w:val="en-US"/>
        </w:rPr>
        <w:t>κ</w:t>
      </w:r>
      <w:r w:rsidRPr="00A11646">
        <w:rPr>
          <w:color w:val="auto"/>
        </w:rPr>
        <w:t xml:space="preserve"> –   в 1,2 (р&gt;0,05), при  </w:t>
      </w:r>
      <w:r w:rsidRPr="00A11646">
        <w:rPr>
          <w:color w:val="auto"/>
          <w:lang w:val="en-US"/>
        </w:rPr>
        <w:t>Ig</w:t>
      </w:r>
      <w:r w:rsidRPr="00A11646">
        <w:rPr>
          <w:color w:val="auto"/>
        </w:rPr>
        <w:t>А</w:t>
      </w:r>
      <w:r w:rsidRPr="00A11646">
        <w:rPr>
          <w:color w:val="auto"/>
          <w:lang w:val="en-US"/>
        </w:rPr>
        <w:t>λ</w:t>
      </w:r>
      <w:r w:rsidRPr="00A11646">
        <w:rPr>
          <w:color w:val="auto"/>
        </w:rPr>
        <w:t xml:space="preserve"> -  1,03 (р&gt;0,05), при редких вариантах  - 1,0 (р&lt;0,05).</w:t>
      </w:r>
    </w:p>
    <w:p w:rsidR="00190E3E" w:rsidRPr="00A11646" w:rsidRDefault="00190E3E" w:rsidP="00190E3E">
      <w:pPr>
        <w:pStyle w:val="a3"/>
        <w:spacing w:line="360" w:lineRule="auto"/>
        <w:ind w:firstLine="709"/>
        <w:jc w:val="both"/>
        <w:rPr>
          <w:color w:val="auto"/>
        </w:rPr>
      </w:pPr>
      <w:r w:rsidRPr="00A11646">
        <w:rPr>
          <w:color w:val="auto"/>
          <w:lang w:val="uz-Cyrl-UZ"/>
        </w:rPr>
        <w:t>Анализ результатов изучения у</w:t>
      </w:r>
      <w:r w:rsidRPr="00A11646">
        <w:rPr>
          <w:color w:val="auto"/>
        </w:rPr>
        <w:t>ровней γ – и β</w:t>
      </w:r>
      <w:r w:rsidRPr="00A11646">
        <w:rPr>
          <w:color w:val="auto"/>
          <w:vertAlign w:val="subscript"/>
        </w:rPr>
        <w:t>2</w:t>
      </w:r>
      <w:r w:rsidRPr="00A11646">
        <w:rPr>
          <w:color w:val="auto"/>
        </w:rPr>
        <w:t>-микроглобулинов в сыворотке крови больных после лечения показал их снижение в обеих подгруппах, однако в «А» подгруппе их значения все же находились выше нормы.</w:t>
      </w:r>
    </w:p>
    <w:p w:rsidR="00190E3E" w:rsidRPr="00A11646" w:rsidRDefault="00190E3E" w:rsidP="00190E3E">
      <w:pPr>
        <w:pStyle w:val="a3"/>
        <w:spacing w:line="360" w:lineRule="auto"/>
        <w:ind w:firstLine="709"/>
        <w:jc w:val="both"/>
        <w:rPr>
          <w:color w:val="auto"/>
          <w:lang w:val="uz-Cyrl-UZ"/>
        </w:rPr>
      </w:pPr>
      <w:r w:rsidRPr="00A11646">
        <w:rPr>
          <w:color w:val="auto"/>
        </w:rPr>
        <w:t xml:space="preserve">Подобные результаты отмечены и в отношении уровня мочевины: в «А» подгруппе уровень мочевины при вариантах </w:t>
      </w:r>
      <w:r w:rsidRPr="00A11646">
        <w:rPr>
          <w:color w:val="auto"/>
          <w:lang w:val="en-US"/>
        </w:rPr>
        <w:t>Ig</w:t>
      </w:r>
      <w:r w:rsidRPr="00A11646">
        <w:rPr>
          <w:color w:val="auto"/>
          <w:lang w:val="uz-Cyrl-UZ"/>
        </w:rPr>
        <w:t>А</w:t>
      </w:r>
      <w:r w:rsidRPr="00A11646">
        <w:rPr>
          <w:color w:val="auto"/>
        </w:rPr>
        <w:t xml:space="preserve">κ, </w:t>
      </w:r>
      <w:r w:rsidRPr="00A11646">
        <w:rPr>
          <w:color w:val="auto"/>
          <w:lang w:val="en-US"/>
        </w:rPr>
        <w:t>IgA</w:t>
      </w:r>
      <w:r w:rsidRPr="00A11646">
        <w:rPr>
          <w:color w:val="auto"/>
        </w:rPr>
        <w:t xml:space="preserve">λ и редких вариантах после лечения остается повышенным, что свидетельствует о неполном ответе на проведенную терапию. </w:t>
      </w:r>
    </w:p>
    <w:p w:rsidR="00190E3E" w:rsidRPr="00A11646" w:rsidRDefault="00190E3E" w:rsidP="00190E3E">
      <w:pPr>
        <w:pStyle w:val="a3"/>
        <w:spacing w:line="360" w:lineRule="auto"/>
        <w:ind w:firstLine="709"/>
        <w:jc w:val="both"/>
        <w:rPr>
          <w:color w:val="auto"/>
        </w:rPr>
      </w:pPr>
      <w:r w:rsidRPr="00A11646">
        <w:rPr>
          <w:color w:val="auto"/>
        </w:rPr>
        <w:t xml:space="preserve">Анализ уровня креатинина позволил отметить положительную динамику после лечения практически у всех больных в исследуемых подгруппах, характеризующуюся снижением его уровня. Несмотря на снижение креатинина у всех больных, все же в «А» подгруппе </w:t>
      </w:r>
      <w:r w:rsidRPr="00A11646">
        <w:rPr>
          <w:color w:val="auto"/>
          <w:lang w:val="en-US"/>
        </w:rPr>
        <w:t>IgG</w:t>
      </w:r>
      <w:r w:rsidRPr="00A11646">
        <w:rPr>
          <w:color w:val="auto"/>
        </w:rPr>
        <w:t xml:space="preserve">λ, </w:t>
      </w:r>
      <w:r w:rsidRPr="00A11646">
        <w:rPr>
          <w:color w:val="auto"/>
          <w:lang w:val="en-US"/>
        </w:rPr>
        <w:t>IgA</w:t>
      </w:r>
      <w:r w:rsidRPr="00A11646">
        <w:rPr>
          <w:color w:val="auto"/>
        </w:rPr>
        <w:t>λ и редких вариантах его значения превышали норму в 1,2; 1,04 и 1,18 раза. Эти данные являются неблагоприятным критерием оценки эффективности лечения.</w:t>
      </w:r>
    </w:p>
    <w:p w:rsidR="00190E3E" w:rsidRPr="00A11646" w:rsidRDefault="00190E3E" w:rsidP="00190E3E">
      <w:pPr>
        <w:pStyle w:val="a3"/>
        <w:spacing w:line="360" w:lineRule="auto"/>
        <w:ind w:firstLine="709"/>
        <w:jc w:val="both"/>
        <w:rPr>
          <w:color w:val="auto"/>
        </w:rPr>
      </w:pPr>
      <w:r w:rsidRPr="00A11646">
        <w:rPr>
          <w:color w:val="auto"/>
        </w:rPr>
        <w:t>Результаты биохимического анализа мочи у больных ММ в подгруппе «А» и «Б» также показали различия значений между подгруппами. В частности, в «А» подгруппе после лечения белок Бенс-Джонса выявлялся у  9,2% больных, тогда как в «Б» подгруппе после проведенной терапии белок Бенс-Джонса не выявлялся.</w:t>
      </w:r>
    </w:p>
    <w:p w:rsidR="00190E3E" w:rsidRPr="00A11646" w:rsidRDefault="00190E3E" w:rsidP="00190E3E">
      <w:pPr>
        <w:pStyle w:val="a3"/>
        <w:spacing w:line="360" w:lineRule="auto"/>
        <w:ind w:firstLine="709"/>
        <w:jc w:val="both"/>
        <w:rPr>
          <w:color w:val="auto"/>
        </w:rPr>
      </w:pPr>
      <w:r w:rsidRPr="00A11646">
        <w:rPr>
          <w:color w:val="auto"/>
        </w:rPr>
        <w:t xml:space="preserve">Наряду с изучением наличия белка Бенс-Джонса, мы определяли у всех больных после лечения наличие протеинурии, что позволило выявить ее только у среди больных «А» подгруппы. </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lastRenderedPageBreak/>
        <w:t xml:space="preserve">Таким образом, анализ результатов биохимических исследований крови и мочи после лечения в обеих подгруппах больных ММ, показал, что наибольшее снижение уровня общего белка, микроглобулинов, мочевины и  креатинина в крови, уровня белка в моче констатинровано у пациентов “Б” подгруппы с применением аутоТГСК. </w:t>
      </w:r>
    </w:p>
    <w:p w:rsidR="00190E3E" w:rsidRPr="00A11646" w:rsidRDefault="00190E3E" w:rsidP="00190E3E">
      <w:pPr>
        <w:pStyle w:val="a3"/>
        <w:spacing w:line="360" w:lineRule="auto"/>
        <w:ind w:firstLine="709"/>
        <w:jc w:val="both"/>
        <w:rPr>
          <w:color w:val="auto"/>
          <w:lang w:val="uz-Cyrl-UZ"/>
        </w:rPr>
      </w:pPr>
      <w:r w:rsidRPr="00A11646">
        <w:rPr>
          <w:color w:val="auto"/>
        </w:rPr>
        <w:t xml:space="preserve">Статистический анализ позволил выявить наличие </w:t>
      </w:r>
      <w:r w:rsidRPr="00A11646">
        <w:rPr>
          <w:color w:val="auto"/>
          <w:lang w:val="uz-Cyrl-UZ"/>
        </w:rPr>
        <w:t>корреляционной зависимости между прогностическими факторами риска: в сыворотке крови между количеством общего белка и микроглобулинов с уровнем мочевины, креатинина, в периферической крови с уровнем гемоглобина, эритроцитов, тромбоцитов, СОЭ, в костном мозге с количеством плазматических клеток, в моче с количеством общего белка и белка Бенс-Джонса.</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 xml:space="preserve">Одной из задач нашего исследования явилась оценка ответа у больных ММ на проведенную терапию в подгруппах “А” и “Б”.  </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Важным этапом нашей работы явился анализ выживаемости больных ММ в подгруппах “А” и “Б” в зависимости от проведенной терапии с учетом иммунохимического варианта ММ.</w:t>
      </w:r>
    </w:p>
    <w:p w:rsidR="00190E3E" w:rsidRPr="00A11646" w:rsidRDefault="00190E3E" w:rsidP="00190E3E">
      <w:pPr>
        <w:pStyle w:val="a3"/>
        <w:spacing w:line="360" w:lineRule="auto"/>
        <w:ind w:firstLine="709"/>
        <w:jc w:val="both"/>
        <w:rPr>
          <w:color w:val="auto"/>
        </w:rPr>
      </w:pPr>
      <w:r w:rsidRPr="00A11646">
        <w:rPr>
          <w:color w:val="auto"/>
        </w:rPr>
        <w:t xml:space="preserve">При медиане наблюдения 60 месяцев (диапазон 1–96 месяцев) без рецидивная (БРВ) и общая (ОВ) выживаемость больных ММ в зависимости от проведенного лечения имела существенные различия. </w:t>
      </w:r>
    </w:p>
    <w:p w:rsidR="00190E3E" w:rsidRPr="00A11646" w:rsidRDefault="00190E3E" w:rsidP="00190E3E">
      <w:pPr>
        <w:pStyle w:val="a3"/>
        <w:spacing w:line="360" w:lineRule="auto"/>
        <w:ind w:firstLine="709"/>
        <w:jc w:val="both"/>
        <w:rPr>
          <w:rFonts w:eastAsia="Batang"/>
          <w:color w:val="auto"/>
          <w:lang w:eastAsia="ko-KR" w:bidi="pa-IN"/>
        </w:rPr>
      </w:pPr>
      <w:r w:rsidRPr="00A11646">
        <w:rPr>
          <w:color w:val="auto"/>
        </w:rPr>
        <w:t xml:space="preserve">В «А» подгруппе больных ММ получавшие только ПХТ по протоколу </w:t>
      </w:r>
      <w:r w:rsidRPr="00A11646">
        <w:rPr>
          <w:color w:val="auto"/>
          <w:lang w:val="en-US"/>
        </w:rPr>
        <w:t>VCD</w:t>
      </w:r>
      <w:r w:rsidRPr="00A11646">
        <w:rPr>
          <w:color w:val="auto"/>
        </w:rPr>
        <w:t xml:space="preserve"> (4 курса) ( n=87) БРВ до 12 месяцев зарегистрирована у 63 больных, что составило в среднем </w:t>
      </w:r>
      <w:r w:rsidRPr="00A11646">
        <w:rPr>
          <w:rFonts w:eastAsia="Batang"/>
          <w:color w:val="auto"/>
          <w:lang w:eastAsia="ko-KR" w:bidi="pa-IN"/>
        </w:rPr>
        <w:t xml:space="preserve">72,4±4,8% (р&gt;0,05), до 36 месяцев -  у 15 (17,2±4,1%; р&lt;0,01) и </w:t>
      </w:r>
      <w:r w:rsidRPr="00A11646">
        <w:rPr>
          <w:color w:val="auto"/>
        </w:rPr>
        <w:t xml:space="preserve">до 60 месяцев и более – у  4 (4,6±2,3%; </w:t>
      </w:r>
      <w:r w:rsidRPr="00A11646">
        <w:rPr>
          <w:rFonts w:eastAsia="Batang"/>
          <w:color w:val="auto"/>
          <w:lang w:eastAsia="ko-KR" w:bidi="pa-IN"/>
        </w:rPr>
        <w:t>р&lt;0,01и р&lt;0,05) больных.</w:t>
      </w:r>
    </w:p>
    <w:p w:rsidR="00190E3E" w:rsidRPr="00A11646" w:rsidRDefault="00190E3E" w:rsidP="00190E3E">
      <w:pPr>
        <w:pStyle w:val="a3"/>
        <w:spacing w:line="360" w:lineRule="auto"/>
        <w:ind w:firstLine="709"/>
        <w:jc w:val="both"/>
        <w:rPr>
          <w:color w:val="auto"/>
        </w:rPr>
      </w:pPr>
      <w:r w:rsidRPr="00A11646">
        <w:rPr>
          <w:color w:val="auto"/>
        </w:rPr>
        <w:t xml:space="preserve">Сравнительная оценка БРВ среди больных «А» и «Б» подгрупп показала, что в среднем БРВ до 12 месяцев, до 36 месяцев, а также до 60 и более месяцев в «Б» подгруппе по отношению к «А» подгруппе превысила в 1,38; в 4,7 и 7,6 раз соответственно. В зависимости от иммунохимического варианта БРВ в подгруппе «Б» превысила таковую в </w:t>
      </w:r>
      <w:r w:rsidRPr="00A11646">
        <w:rPr>
          <w:color w:val="auto"/>
        </w:rPr>
        <w:lastRenderedPageBreak/>
        <w:t>подгруппе «А»  до 12 месяцев:  при IgGκ   в 1,25, при варианте IgGλ в 1,5, при IgАκ  в 1,25, при IgAλ в 2,0, при редких формах в 1,4 раза; до 36 месяцев: при IgGκ   в 2,3, при варианте IgGλ в 2,04, при IgAλ в 2, при редких формах в 4,7 раза; до 60 месяцев и более: при IgGκ   в 1,7, при варианте IgGλ в 7,0 раз.</w:t>
      </w:r>
    </w:p>
    <w:p w:rsidR="00190E3E" w:rsidRPr="00A11646" w:rsidRDefault="00190E3E" w:rsidP="00190E3E">
      <w:pPr>
        <w:pStyle w:val="a3"/>
        <w:spacing w:line="360" w:lineRule="auto"/>
        <w:ind w:firstLine="709"/>
        <w:jc w:val="both"/>
        <w:rPr>
          <w:color w:val="auto"/>
        </w:rPr>
      </w:pPr>
      <w:r w:rsidRPr="00A11646">
        <w:rPr>
          <w:color w:val="auto"/>
        </w:rPr>
        <w:t>Сравнительная оценка ОВ среди больных «А» и «Б» подгрупп показала, что ОВ до 12 месяцев, до 36 месяцев, а также до 60 и более месяцев в «Б» подгруппе по отношению к «А» подгруппе превышала в 1,06; в 1,42 и 2,8 раз соответственно.</w:t>
      </w:r>
    </w:p>
    <w:p w:rsidR="00190E3E" w:rsidRPr="00A11646" w:rsidRDefault="00190E3E" w:rsidP="00190E3E">
      <w:pPr>
        <w:pStyle w:val="a3"/>
        <w:spacing w:line="360" w:lineRule="auto"/>
        <w:ind w:firstLine="709"/>
        <w:jc w:val="both"/>
        <w:rPr>
          <w:color w:val="auto"/>
          <w:lang w:val="uz-Cyrl-UZ"/>
        </w:rPr>
      </w:pPr>
      <w:r w:rsidRPr="00A11646">
        <w:rPr>
          <w:color w:val="auto"/>
          <w:lang w:val="uz-Cyrl-UZ"/>
        </w:rPr>
        <w:t xml:space="preserve">Таким образом, </w:t>
      </w:r>
      <w:bookmarkStart w:id="243" w:name="_Hlk7283958"/>
      <w:r w:rsidRPr="00A11646">
        <w:rPr>
          <w:color w:val="auto"/>
          <w:lang w:val="uz-Cyrl-UZ"/>
        </w:rPr>
        <w:t>полученные результаты свидетельствуют о том, что процент больных ММ с БРВ и ОВ в подгруппе “Б”  превышает таковые в подгруппе “А”. Это, в свою очередь,  является доказательством более высокой эффективности применения аутоТГСК, что выражается в повышении качества жизни и продления как БРВ, так и их ОВ больных ММ в подгруппе “Б”.</w:t>
      </w:r>
    </w:p>
    <w:bookmarkEnd w:id="243"/>
    <w:p w:rsidR="00190E3E" w:rsidRPr="00A11646" w:rsidRDefault="00190E3E" w:rsidP="00190E3E">
      <w:pPr>
        <w:pStyle w:val="a3"/>
        <w:spacing w:line="360" w:lineRule="auto"/>
        <w:ind w:firstLine="709"/>
        <w:jc w:val="both"/>
        <w:rPr>
          <w:color w:val="auto"/>
        </w:rPr>
      </w:pPr>
      <w:r w:rsidRPr="00A11646">
        <w:rPr>
          <w:color w:val="auto"/>
        </w:rPr>
        <w:t xml:space="preserve">На основании выше изложенного можно  заключить, что  </w:t>
      </w:r>
      <w:bookmarkEnd w:id="241"/>
      <w:r w:rsidRPr="00A11646">
        <w:rPr>
          <w:color w:val="auto"/>
        </w:rPr>
        <w:t>ММ  это заболевание с полиморфным клиническим проявлением, неблагоприятными факторами прогноза,  которыми являются возраст больных ≥ 60 лет (p&lt;0,001), IgA иммунохимический вариант ММ (p&lt;0,001), наличие  легкой цепи «λ», уровень гемо</w:t>
      </w:r>
      <w:r w:rsidR="00306A1A">
        <w:rPr>
          <w:color w:val="auto"/>
        </w:rPr>
        <w:t>глобина менее 100 г/л (p&lt;0,05),</w:t>
      </w:r>
      <w:r w:rsidR="00306A1A">
        <w:rPr>
          <w:color w:val="auto"/>
          <w:lang w:val="uz-Cyrl-UZ"/>
        </w:rPr>
        <w:t xml:space="preserve"> </w:t>
      </w:r>
      <w:r w:rsidRPr="00A11646">
        <w:rPr>
          <w:color w:val="auto"/>
        </w:rPr>
        <w:t>количество общего белка ≥100 г/л, γ и β2 микроглобулинов ≥ 19% и 10% (p&lt;0,05), креатинина в сыворотке крови ≥177 мкмоль/л (p&lt;0,001).  Оценка ответа на проведенную терапию, а также длительность БРВ и ОВ больных являются важными критериями определения эффективности метода лечения. В связи с чем применение высокотехнологичных методов в диагностике (иммунохимические методы определения варианта заболевания) и лечении (аутоТГСК) ММ являются оправданными и перспективными.</w:t>
      </w:r>
    </w:p>
    <w:p w:rsidR="00B547C2" w:rsidRDefault="00B547C2" w:rsidP="00190E3E">
      <w:pPr>
        <w:jc w:val="center"/>
        <w:rPr>
          <w:rFonts w:ascii="Times New Roman" w:hAnsi="Times New Roman"/>
          <w:b/>
          <w:sz w:val="28"/>
          <w:szCs w:val="28"/>
          <w:lang w:val="uz-Cyrl-UZ"/>
        </w:rPr>
      </w:pPr>
    </w:p>
    <w:p w:rsidR="00190E3E" w:rsidRPr="00A11646" w:rsidRDefault="00190E3E" w:rsidP="00190E3E">
      <w:pPr>
        <w:jc w:val="center"/>
        <w:rPr>
          <w:rFonts w:ascii="Times New Roman" w:hAnsi="Times New Roman"/>
          <w:b/>
          <w:sz w:val="28"/>
          <w:szCs w:val="28"/>
        </w:rPr>
      </w:pPr>
      <w:r w:rsidRPr="00A11646">
        <w:rPr>
          <w:rFonts w:ascii="Times New Roman" w:hAnsi="Times New Roman"/>
          <w:b/>
          <w:sz w:val="28"/>
          <w:szCs w:val="28"/>
        </w:rPr>
        <w:t>ВЫВОДЫ:</w:t>
      </w:r>
    </w:p>
    <w:p w:rsidR="00190E3E" w:rsidRPr="00A11646" w:rsidRDefault="00190E3E" w:rsidP="00190E3E">
      <w:pPr>
        <w:jc w:val="both"/>
        <w:rPr>
          <w:rFonts w:ascii="Times New Roman" w:hAnsi="Times New Roman"/>
          <w:sz w:val="28"/>
          <w:szCs w:val="28"/>
        </w:rPr>
      </w:pPr>
    </w:p>
    <w:p w:rsidR="00B547C2" w:rsidRPr="00A11646" w:rsidRDefault="00B547C2" w:rsidP="00B547C2">
      <w:pPr>
        <w:pStyle w:val="a3"/>
        <w:numPr>
          <w:ilvl w:val="0"/>
          <w:numId w:val="6"/>
        </w:numPr>
        <w:spacing w:line="360" w:lineRule="auto"/>
        <w:ind w:left="0" w:firstLine="709"/>
        <w:jc w:val="both"/>
        <w:rPr>
          <w:color w:val="auto"/>
        </w:rPr>
      </w:pPr>
      <w:r w:rsidRPr="00A11646">
        <w:rPr>
          <w:color w:val="auto"/>
        </w:rPr>
        <w:t xml:space="preserve">У больных множественная миелома в Узбекистане при первичной постановке диагноза чаще регистрируется G - миелома (66,1%), а реже А - миелома (17,7%). А – миелома отличается более </w:t>
      </w:r>
      <w:r w:rsidR="00237C4B">
        <w:rPr>
          <w:color w:val="auto"/>
          <w:lang w:val="uz-Cyrl-UZ"/>
        </w:rPr>
        <w:t>выраженными</w:t>
      </w:r>
      <w:r w:rsidRPr="00A11646">
        <w:rPr>
          <w:color w:val="auto"/>
        </w:rPr>
        <w:t xml:space="preserve"> клинико-лабораторными нарушениями и агрессивностью течения.</w:t>
      </w:r>
    </w:p>
    <w:p w:rsidR="00190E3E" w:rsidRPr="00A11646" w:rsidRDefault="00190E3E" w:rsidP="00190E3E">
      <w:pPr>
        <w:pStyle w:val="a5"/>
        <w:numPr>
          <w:ilvl w:val="0"/>
          <w:numId w:val="6"/>
        </w:numPr>
        <w:spacing w:after="160" w:line="360" w:lineRule="auto"/>
        <w:ind w:left="0" w:firstLine="709"/>
        <w:jc w:val="both"/>
        <w:rPr>
          <w:rFonts w:ascii="Times New Roman" w:hAnsi="Times New Roman" w:cs="Times New Roman"/>
          <w:sz w:val="28"/>
          <w:szCs w:val="28"/>
          <w:lang w:val="uz-Cyrl-UZ"/>
        </w:rPr>
      </w:pPr>
      <w:r w:rsidRPr="00A11646">
        <w:rPr>
          <w:rFonts w:ascii="Times New Roman" w:hAnsi="Times New Roman" w:cs="Times New Roman"/>
          <w:sz w:val="28"/>
          <w:szCs w:val="28"/>
          <w:lang w:val="uz-Cyrl-UZ"/>
        </w:rPr>
        <w:t xml:space="preserve">Факторами определяющими </w:t>
      </w:r>
      <w:r w:rsidR="003F53C6">
        <w:rPr>
          <w:rFonts w:ascii="Times New Roman" w:hAnsi="Times New Roman" w:cs="Times New Roman"/>
          <w:sz w:val="28"/>
          <w:szCs w:val="28"/>
          <w:lang w:val="uz-Cyrl-UZ"/>
        </w:rPr>
        <w:t xml:space="preserve">неблагоприятный </w:t>
      </w:r>
      <w:r w:rsidRPr="00A11646">
        <w:rPr>
          <w:rFonts w:ascii="Times New Roman" w:hAnsi="Times New Roman" w:cs="Times New Roman"/>
          <w:sz w:val="28"/>
          <w:szCs w:val="28"/>
          <w:lang w:val="uz-Cyrl-UZ"/>
        </w:rPr>
        <w:t xml:space="preserve">прогноз множественной миеломы  являются: </w:t>
      </w:r>
      <w:r w:rsidRPr="00A11646">
        <w:rPr>
          <w:rFonts w:ascii="Times New Roman" w:hAnsi="Times New Roman"/>
          <w:sz w:val="28"/>
          <w:szCs w:val="28"/>
        </w:rPr>
        <w:t>возраст больных ≥ 60 лет, IgA иммунохимический вариант множественная миелома, наличие  легкой цепи «λ», уровень гемоглобина менее 100 г/л, количество общего белка ≥100 г/л, γ и β2 микроглобулинов ≥</w:t>
      </w:r>
      <w:bookmarkStart w:id="244" w:name="_Hlk7285134"/>
      <w:r w:rsidRPr="00A11646">
        <w:rPr>
          <w:rFonts w:ascii="Times New Roman" w:hAnsi="Times New Roman"/>
          <w:sz w:val="28"/>
          <w:szCs w:val="28"/>
        </w:rPr>
        <w:t>19% и 10%</w:t>
      </w:r>
      <w:bookmarkEnd w:id="244"/>
      <w:r w:rsidRPr="00A11646">
        <w:rPr>
          <w:rFonts w:ascii="Times New Roman" w:hAnsi="Times New Roman"/>
          <w:sz w:val="28"/>
          <w:szCs w:val="28"/>
        </w:rPr>
        <w:t>, креатинина в сыворотке крови ≥177 мкмоль/л</w:t>
      </w:r>
      <w:r w:rsidRPr="00A11646">
        <w:rPr>
          <w:rFonts w:ascii="Times New Roman" w:hAnsi="Times New Roman" w:cs="Times New Roman"/>
          <w:sz w:val="28"/>
          <w:szCs w:val="28"/>
          <w:lang w:val="uz-Cyrl-UZ"/>
        </w:rPr>
        <w:t>.</w:t>
      </w:r>
    </w:p>
    <w:p w:rsidR="00190E3E" w:rsidRPr="00A11646" w:rsidRDefault="00190E3E" w:rsidP="00190E3E">
      <w:pPr>
        <w:pStyle w:val="a3"/>
        <w:spacing w:line="360" w:lineRule="auto"/>
        <w:ind w:firstLine="708"/>
        <w:jc w:val="both"/>
        <w:rPr>
          <w:color w:val="auto"/>
        </w:rPr>
      </w:pPr>
      <w:r w:rsidRPr="00A11646">
        <w:rPr>
          <w:color w:val="auto"/>
        </w:rPr>
        <w:t xml:space="preserve">3. </w:t>
      </w:r>
      <w:bookmarkStart w:id="245" w:name="_Hlk22393951"/>
      <w:r w:rsidR="00A964C1">
        <w:rPr>
          <w:color w:val="auto"/>
          <w:lang w:val="uz-Cyrl-UZ"/>
        </w:rPr>
        <w:t xml:space="preserve"> </w:t>
      </w:r>
      <w:r w:rsidRPr="00A11646">
        <w:rPr>
          <w:color w:val="auto"/>
        </w:rPr>
        <w:t>Применение при множественной миеломы высокотехнологичных методов</w:t>
      </w:r>
      <w:r w:rsidRPr="00A11646">
        <w:rPr>
          <w:color w:val="auto"/>
          <w:lang w:val="uz-Cyrl-UZ"/>
        </w:rPr>
        <w:t xml:space="preserve"> лечения</w:t>
      </w:r>
      <w:r w:rsidRPr="00A11646">
        <w:rPr>
          <w:color w:val="auto"/>
        </w:rPr>
        <w:t xml:space="preserve"> (аутотрансплантация гемопоэтических стволовых клеток)</w:t>
      </w:r>
      <w:r w:rsidR="00530060">
        <w:rPr>
          <w:color w:val="auto"/>
          <w:lang w:val="uz-Cyrl-UZ"/>
        </w:rPr>
        <w:t xml:space="preserve"> </w:t>
      </w:r>
      <w:r w:rsidRPr="00A11646">
        <w:rPr>
          <w:color w:val="auto"/>
        </w:rPr>
        <w:t>способствует повышению е</w:t>
      </w:r>
      <w:r w:rsidRPr="00A11646">
        <w:rPr>
          <w:color w:val="auto"/>
          <w:lang w:val="uz-Cyrl-UZ"/>
        </w:rPr>
        <w:t xml:space="preserve">го </w:t>
      </w:r>
      <w:r w:rsidRPr="00A11646">
        <w:rPr>
          <w:color w:val="auto"/>
        </w:rPr>
        <w:t xml:space="preserve">эффективности </w:t>
      </w:r>
      <w:r w:rsidRPr="00A11646">
        <w:rPr>
          <w:rFonts w:eastAsia="Times New Roman"/>
          <w:color w:val="auto"/>
          <w:lang w:eastAsia="ru-RU"/>
        </w:rPr>
        <w:t>по сравнению</w:t>
      </w:r>
      <w:r w:rsidRPr="00A11646">
        <w:rPr>
          <w:color w:val="auto"/>
        </w:rPr>
        <w:t xml:space="preserve"> с проведением </w:t>
      </w:r>
      <w:r w:rsidRPr="00A11646">
        <w:rPr>
          <w:color w:val="auto"/>
          <w:lang w:val="uz-Cyrl-UZ"/>
        </w:rPr>
        <w:t>только стандартной</w:t>
      </w:r>
      <w:r w:rsidR="00A964C1">
        <w:rPr>
          <w:color w:val="auto"/>
          <w:lang w:val="uz-Cyrl-UZ"/>
        </w:rPr>
        <w:t xml:space="preserve"> </w:t>
      </w:r>
      <w:r w:rsidRPr="00A11646">
        <w:rPr>
          <w:color w:val="auto"/>
        </w:rPr>
        <w:t>полихимиотерапии</w:t>
      </w:r>
      <w:r w:rsidRPr="00A11646">
        <w:rPr>
          <w:color w:val="auto"/>
          <w:lang w:val="uz-Cyrl-UZ"/>
        </w:rPr>
        <w:t xml:space="preserve">, что подтверждается увеличением пятилетней общей выживаемости больных множественной миеломой в </w:t>
      </w:r>
      <w:r w:rsidR="00A964C1">
        <w:rPr>
          <w:color w:val="auto"/>
          <w:lang w:val="uz-Cyrl-UZ"/>
        </w:rPr>
        <w:t>3</w:t>
      </w:r>
      <w:r w:rsidRPr="00A11646">
        <w:rPr>
          <w:color w:val="auto"/>
          <w:lang w:val="uz-Cyrl-UZ"/>
        </w:rPr>
        <w:t>,</w:t>
      </w:r>
      <w:r w:rsidR="00A964C1">
        <w:rPr>
          <w:color w:val="auto"/>
          <w:lang w:val="uz-Cyrl-UZ"/>
        </w:rPr>
        <w:t>6</w:t>
      </w:r>
      <w:r w:rsidRPr="00A11646">
        <w:rPr>
          <w:color w:val="auto"/>
          <w:lang w:val="uz-Cyrl-UZ"/>
        </w:rPr>
        <w:t xml:space="preserve"> раз (p&lt;0,001)</w:t>
      </w:r>
      <w:r w:rsidRPr="00A11646">
        <w:rPr>
          <w:color w:val="auto"/>
        </w:rPr>
        <w:t>.</w:t>
      </w:r>
    </w:p>
    <w:bookmarkEnd w:id="245"/>
    <w:p w:rsidR="00084915" w:rsidRDefault="00190E3E" w:rsidP="00190E3E">
      <w:pPr>
        <w:pStyle w:val="a3"/>
        <w:spacing w:line="360" w:lineRule="auto"/>
        <w:ind w:firstLine="708"/>
        <w:jc w:val="both"/>
        <w:rPr>
          <w:color w:val="auto"/>
          <w:lang w:val="uz-Cyrl-UZ"/>
        </w:rPr>
      </w:pPr>
      <w:r w:rsidRPr="00A11646">
        <w:rPr>
          <w:color w:val="auto"/>
        </w:rPr>
        <w:t>4.</w:t>
      </w:r>
      <w:r w:rsidR="00A964C1">
        <w:rPr>
          <w:color w:val="auto"/>
          <w:lang w:val="uz-Cyrl-UZ"/>
        </w:rPr>
        <w:t xml:space="preserve"> </w:t>
      </w:r>
      <w:r w:rsidRPr="00A11646">
        <w:rPr>
          <w:color w:val="auto"/>
        </w:rPr>
        <w:t>При лечении множественной миеломы с применением высокотехнологичных методов лечения (аутотрансплантация гемопоэтических стволовых клеток) по сравнению с проведением только полихимиотерапи</w:t>
      </w:r>
      <w:r w:rsidR="00530060">
        <w:rPr>
          <w:color w:val="auto"/>
          <w:lang w:val="uz-Cyrl-UZ"/>
        </w:rPr>
        <w:t>и выявлено что,</w:t>
      </w:r>
      <w:r w:rsidRPr="00A11646">
        <w:rPr>
          <w:color w:val="auto"/>
        </w:rPr>
        <w:t xml:space="preserve"> 5 - летняя без рецидивная и общая выживаемость превысила в 7,6 (35,5% против 4,6%) и 2,8 (70,0% против 25,3%) раз, соответственно. Следовательно</w:t>
      </w:r>
      <w:r w:rsidR="00530060">
        <w:rPr>
          <w:color w:val="auto"/>
          <w:lang w:val="uz-Cyrl-UZ"/>
        </w:rPr>
        <w:t xml:space="preserve">, </w:t>
      </w:r>
      <w:r w:rsidRPr="00A11646">
        <w:rPr>
          <w:color w:val="auto"/>
        </w:rPr>
        <w:t>аутотрансплантация гемопоэтических стволовых клеток является перспективным методом лечения множественной миеломы.</w:t>
      </w:r>
    </w:p>
    <w:p w:rsidR="00190E3E" w:rsidRPr="00A11646" w:rsidRDefault="00190E3E" w:rsidP="00190E3E">
      <w:pPr>
        <w:pStyle w:val="a3"/>
        <w:spacing w:line="360" w:lineRule="auto"/>
        <w:ind w:firstLine="708"/>
        <w:jc w:val="both"/>
        <w:rPr>
          <w:color w:val="auto"/>
        </w:rPr>
      </w:pPr>
      <w:r w:rsidRPr="00A11646">
        <w:rPr>
          <w:color w:val="auto"/>
        </w:rPr>
        <w:t xml:space="preserve"> </w:t>
      </w:r>
    </w:p>
    <w:p w:rsidR="00190E3E" w:rsidRPr="00A11646" w:rsidRDefault="00190E3E" w:rsidP="00190E3E">
      <w:pPr>
        <w:jc w:val="center"/>
        <w:rPr>
          <w:rFonts w:ascii="Times New Roman" w:hAnsi="Times New Roman"/>
          <w:b/>
          <w:sz w:val="28"/>
          <w:szCs w:val="28"/>
        </w:rPr>
      </w:pPr>
      <w:r w:rsidRPr="00A11646">
        <w:rPr>
          <w:rFonts w:ascii="Times New Roman" w:hAnsi="Times New Roman"/>
          <w:b/>
          <w:sz w:val="28"/>
          <w:szCs w:val="28"/>
        </w:rPr>
        <w:t>ПРАКТИЧЕСКИЕ РЕКОМЕНДАЦИИ</w:t>
      </w:r>
    </w:p>
    <w:p w:rsidR="00190E3E" w:rsidRPr="00A11646" w:rsidRDefault="00190E3E" w:rsidP="00190E3E">
      <w:pPr>
        <w:jc w:val="center"/>
        <w:rPr>
          <w:rFonts w:ascii="Times New Roman" w:hAnsi="Times New Roman"/>
          <w:sz w:val="28"/>
          <w:szCs w:val="28"/>
        </w:rPr>
      </w:pPr>
    </w:p>
    <w:p w:rsidR="00190E3E" w:rsidRPr="00A11646" w:rsidRDefault="00190E3E" w:rsidP="00190E3E">
      <w:pPr>
        <w:pStyle w:val="a5"/>
        <w:numPr>
          <w:ilvl w:val="0"/>
          <w:numId w:val="7"/>
        </w:numPr>
        <w:spacing w:after="16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lastRenderedPageBreak/>
        <w:t>Применение высокотехнологичных методов повышает качество диагностики, а также предоставляет возможность оценки прогнозирования течения и лечения множественной миеломы путем определения иммунохимического варианта заболевания.</w:t>
      </w:r>
    </w:p>
    <w:p w:rsidR="00190E3E" w:rsidRPr="00A11646" w:rsidRDefault="00190E3E" w:rsidP="00190E3E">
      <w:pPr>
        <w:pStyle w:val="a5"/>
        <w:numPr>
          <w:ilvl w:val="0"/>
          <w:numId w:val="7"/>
        </w:numPr>
        <w:spacing w:after="16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 xml:space="preserve">Проведение аутотрансплантации гемопоэтических стволовых клеток у больных множественной миеломы способствует повышению   качества их жизни, путем увеличения без рецидивной и общей выживаемости. </w:t>
      </w:r>
    </w:p>
    <w:p w:rsidR="00190E3E" w:rsidRPr="00A11646" w:rsidRDefault="00190E3E" w:rsidP="00190E3E">
      <w:pPr>
        <w:pStyle w:val="a5"/>
        <w:numPr>
          <w:ilvl w:val="0"/>
          <w:numId w:val="7"/>
        </w:numPr>
        <w:spacing w:after="160" w:line="360" w:lineRule="auto"/>
        <w:ind w:left="0" w:firstLine="709"/>
        <w:jc w:val="both"/>
        <w:rPr>
          <w:rFonts w:ascii="Times New Roman" w:hAnsi="Times New Roman" w:cs="Times New Roman"/>
          <w:sz w:val="28"/>
          <w:szCs w:val="28"/>
        </w:rPr>
      </w:pPr>
      <w:r w:rsidRPr="00A11646">
        <w:rPr>
          <w:rFonts w:ascii="Times New Roman" w:hAnsi="Times New Roman" w:cs="Times New Roman"/>
          <w:sz w:val="28"/>
          <w:szCs w:val="28"/>
        </w:rPr>
        <w:t>Больным множественной миеломой в возрасте &lt;60 лет, при отсутствии угрожающих жизни сопутствующих патологий, после проведения четырех курсов стандартной полихимиотерапии с достижением ремиссии (частичной, полной) с целью консолидации рекомендовано проведение аутотрансплантация гемопоэтических стволовых клеток.</w:t>
      </w: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line="360" w:lineRule="auto"/>
        <w:ind w:firstLine="709"/>
        <w:jc w:val="center"/>
        <w:rPr>
          <w:rFonts w:ascii="Times New Roman" w:hAnsi="Times New Roman"/>
          <w:sz w:val="28"/>
          <w:szCs w:val="28"/>
        </w:rPr>
      </w:pPr>
      <w:r w:rsidRPr="00A11646">
        <w:rPr>
          <w:rFonts w:ascii="Times New Roman" w:hAnsi="Times New Roman"/>
          <w:sz w:val="28"/>
          <w:szCs w:val="28"/>
          <w:lang w:val="uz-Cyrl-UZ"/>
        </w:rPr>
        <w:t xml:space="preserve">СПИСОК </w:t>
      </w:r>
      <w:r w:rsidRPr="00A11646">
        <w:rPr>
          <w:rFonts w:ascii="Times New Roman" w:hAnsi="Times New Roman"/>
          <w:sz w:val="28"/>
          <w:szCs w:val="28"/>
        </w:rPr>
        <w:t>ЛИТЕРАТУРЫ:</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 xml:space="preserve">Агилова Ю.Н., Смирнова О.В., Манчук В.Т. Роль цитокинов в прогрессировании миеломной болезни // // Врач-аспирант. 2014. Т. 62, № 1.3. -С. 404-407.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lastRenderedPageBreak/>
        <w:t xml:space="preserve">Бабкина И.В., Кузнецов И.Н., Руссо Е.Ю., Лякина Л.Т., Дегтярь В.Г. Цитокины в сыворотке крови больных первичными опухолями костей / // Технологии живых систем. -2013. Т. 10, № 3. -С. 21-35.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Баратова Д.А., Баратова М.А.Иммуногенетические HLA – маркеры I и II классов у больных с множественной миеломой // // Современные проблемы науки и образования. -2014, № 3. -С. 530.</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Бессмельцев С.С., Харченко М.Ф. Значение протеогликанов в патогенезе множественной миеломы (обзор литературы) // Гематология. 2010. Т. 11. C. 404–423.</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Бочарова, О.А. Адгезионная концепция в биологии злокачественного роста / О.А. Бочарова // Патологическая физиология и экспериментальная терапия. -2014, № 2. -С. 87-93.</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 xml:space="preserve"> Варшавский В.А., Бирюкова Л.С., Рехтина И.Г. и др. Обратимость тяжелой почечной недостаточности при миеломной болезни  // Нефрология и диализа. -2009. -№ 3. –С. 257–262.</w:t>
      </w:r>
    </w:p>
    <w:p w:rsidR="00A11646" w:rsidRPr="00A11646" w:rsidRDefault="00A11646" w:rsidP="00A11646">
      <w:pPr>
        <w:pStyle w:val="a3"/>
        <w:numPr>
          <w:ilvl w:val="0"/>
          <w:numId w:val="8"/>
        </w:numPr>
        <w:spacing w:line="360" w:lineRule="auto"/>
        <w:ind w:left="0" w:firstLine="709"/>
        <w:jc w:val="both"/>
        <w:rPr>
          <w:b/>
          <w:color w:val="auto"/>
        </w:rPr>
      </w:pPr>
      <w:bookmarkStart w:id="246" w:name="_Hlk21110452"/>
      <w:r w:rsidRPr="00A11646">
        <w:rPr>
          <w:color w:val="auto"/>
        </w:rPr>
        <w:t>Войцеховский В.В., Ландышев Ю.С., Григоренко А.А., Целуйко С.С. Гоборов Н.Д. Множественная миелома. Современные принципы диагностики и лечения. /Монография, Благовещенск. 2012. – 140 с.</w:t>
      </w:r>
    </w:p>
    <w:p w:rsidR="00A11646" w:rsidRPr="00A11646" w:rsidRDefault="00A11646" w:rsidP="00A11646">
      <w:pPr>
        <w:pStyle w:val="a3"/>
        <w:numPr>
          <w:ilvl w:val="0"/>
          <w:numId w:val="8"/>
        </w:numPr>
        <w:spacing w:line="360" w:lineRule="auto"/>
        <w:ind w:left="0" w:firstLine="709"/>
        <w:jc w:val="both"/>
        <w:rPr>
          <w:color w:val="auto"/>
        </w:rPr>
      </w:pPr>
      <w:bookmarkStart w:id="247" w:name="_Hlk21110059"/>
      <w:bookmarkEnd w:id="246"/>
      <w:r w:rsidRPr="00A11646">
        <w:rPr>
          <w:color w:val="auto"/>
        </w:rPr>
        <w:t>Вотякова О. М., Любимова Н. В., Турко Т. А., Якимович О. Ю., Когарко И. Н. Клиническое значение исследования свободных легких цепей иммуноглобулинов при множественной миеломе //Вестник РОНЦ им. Н. Н. Блохина РАМН, т. 21, №4, 2010. С.16-22.</w:t>
      </w:r>
    </w:p>
    <w:p w:rsidR="00A11646" w:rsidRPr="00A11646" w:rsidRDefault="00A11646" w:rsidP="00A11646">
      <w:pPr>
        <w:pStyle w:val="a3"/>
        <w:numPr>
          <w:ilvl w:val="0"/>
          <w:numId w:val="8"/>
        </w:numPr>
        <w:spacing w:line="360" w:lineRule="auto"/>
        <w:ind w:left="0" w:firstLine="709"/>
        <w:jc w:val="both"/>
        <w:rPr>
          <w:color w:val="auto"/>
          <w:lang w:val="uz-Cyrl-UZ"/>
        </w:rPr>
      </w:pPr>
      <w:bookmarkStart w:id="248" w:name="_Hlk21110312"/>
      <w:bookmarkEnd w:id="247"/>
      <w:r w:rsidRPr="00A11646">
        <w:rPr>
          <w:color w:val="auto"/>
          <w:lang w:val="uz-Cyrl-UZ"/>
        </w:rPr>
        <w:t>Гаврилина Н.С., Ильченко Л.Ю., Осканова Р.С., Фёдоров И.Г., Сторожаков Г.И. Описание случаев множественной миеломы у больных многопрофильного стационара. //Архивъ внутренней медицины, № 1(21), 2015. С. 12-18</w:t>
      </w:r>
    </w:p>
    <w:p w:rsidR="00A11646" w:rsidRPr="00A11646" w:rsidRDefault="00A11646" w:rsidP="00A11646">
      <w:pPr>
        <w:pStyle w:val="a3"/>
        <w:numPr>
          <w:ilvl w:val="0"/>
          <w:numId w:val="8"/>
        </w:numPr>
        <w:spacing w:line="360" w:lineRule="auto"/>
        <w:ind w:left="0" w:firstLine="709"/>
        <w:jc w:val="both"/>
        <w:rPr>
          <w:color w:val="auto"/>
          <w:lang w:val="uz-Cyrl-UZ"/>
        </w:rPr>
      </w:pPr>
      <w:bookmarkStart w:id="249" w:name="_Hlk21109970"/>
      <w:bookmarkEnd w:id="248"/>
      <w:r w:rsidRPr="00A11646">
        <w:rPr>
          <w:color w:val="auto"/>
          <w:lang w:val="uz-Cyrl-UZ"/>
        </w:rPr>
        <w:t xml:space="preserve">Давыдов М.И., Аксель Е.М. Статистика злокачественных новообразований в России и странах СНГ в 2009 г. Вестник РОНЦ им. Н.Н. Блохина РАМН 2011;22(3, Прил. 1):1—170. </w:t>
      </w:r>
    </w:p>
    <w:bookmarkEnd w:id="249"/>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uz-Cyrl-UZ"/>
        </w:rPr>
        <w:lastRenderedPageBreak/>
        <w:t xml:space="preserve">Дарская Е. И., Алексеев С. М., Рудницкая Ю. В., Бабенко Е. В., Эстрина М. А., Афанасьев Б. В.Роль трансплантации аутологичных стволовых гемопоэтических клеток в терапии пациентов, страдающих множественной миеломой. </w:t>
      </w:r>
      <w:r w:rsidRPr="00A11646">
        <w:rPr>
          <w:color w:val="auto"/>
        </w:rPr>
        <w:t>Обзор литературы и результаты работы одного центра. // Клиническая онкогематология, Том 3. № 1, 2010. С.14-20.</w:t>
      </w:r>
    </w:p>
    <w:p w:rsidR="00A11646" w:rsidRPr="00A11646" w:rsidRDefault="00A11646" w:rsidP="00A11646">
      <w:pPr>
        <w:pStyle w:val="a3"/>
        <w:numPr>
          <w:ilvl w:val="0"/>
          <w:numId w:val="8"/>
        </w:numPr>
        <w:spacing w:line="360" w:lineRule="auto"/>
        <w:ind w:left="0" w:firstLine="709"/>
        <w:jc w:val="both"/>
        <w:rPr>
          <w:color w:val="auto"/>
        </w:rPr>
      </w:pPr>
      <w:bookmarkStart w:id="250" w:name="_Hlk20914257"/>
      <w:r w:rsidRPr="00A11646">
        <w:rPr>
          <w:color w:val="auto"/>
        </w:rPr>
        <w:t>Искров И. А. Современные подходы в лечении больных множественной миеломой (обзор литературы). // Проблемы здоровья и экологии. С. 7-11</w:t>
      </w:r>
    </w:p>
    <w:bookmarkEnd w:id="250"/>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 xml:space="preserve">Круглова, Ю.Д. Трудности диагностики множественной миеломы / Ю.Д. Круглова // Бюллетень медицинских интернет-конференций. -2013. Т. 3, № 3. -С. 764.   </w:t>
      </w:r>
    </w:p>
    <w:p w:rsidR="00A11646" w:rsidRPr="00A11646" w:rsidRDefault="00A11646" w:rsidP="00A11646">
      <w:pPr>
        <w:pStyle w:val="a3"/>
        <w:numPr>
          <w:ilvl w:val="0"/>
          <w:numId w:val="8"/>
        </w:numPr>
        <w:spacing w:line="360" w:lineRule="auto"/>
        <w:ind w:left="0" w:firstLine="709"/>
        <w:jc w:val="both"/>
        <w:rPr>
          <w:color w:val="auto"/>
        </w:rPr>
      </w:pPr>
      <w:bookmarkStart w:id="251" w:name="_Hlk21109999"/>
      <w:r w:rsidRPr="00A11646">
        <w:rPr>
          <w:color w:val="auto"/>
        </w:rPr>
        <w:t>Лучинин А.С. и соавт. Множественной миеломы по данным анализа популяционного регистра Кировской области. //Онкогематология, 2017, том 12, выпуск 3, С.50-56.</w:t>
      </w:r>
    </w:p>
    <w:bookmarkEnd w:id="251"/>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Митина, Т.А. Оценка остаточной опухоли у больных с множественной миеломой на основании анализа свободных легких цепей иммуноглобулинов сыворотки крови / Т.А. Митина, А.К. Голенков, А.Ю. Барышников, А.В. Караулов, Е.В. Трифонова, Ю.Б. Черных, Е.В. Катаева, Т.Д. Луцкая, Л.Л. Высоцкая, Г.А. Дудина, С.Г. Захаров, А.М. Фомин, Н.В. Любимова, И.Н. Когарко // Альманах клинической медицины. -2013, № 29. С. 33-36.</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 xml:space="preserve"> Морозова Т.Г., Литвинова И.А., Денисова Т.П. Миеломная болезнь: зависимость сроков наступления ремиссии от иммунохимического варианта заболевания // Вестник Смоленской государственной медицинской академии. -2011, № 2. -С. 25-26.</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Муркамилов И.Т., Калиев Р.Р. Случай множественной миеломы, выявленной в стадии терминальной почечной недостаточности  // Трудный пациент.-2012. Т. 10, №12. -С. 32-35.</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lastRenderedPageBreak/>
        <w:t xml:space="preserve">  Назарова М.В., Бейн Б.Н., КонопаткинМ.А.Патологический перелом позвоночника в дебюте миеломной болезни// Вятский медицинский вестник. -2012, № 4. -С. 30-32.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Павлова, А.А. Цитокины и их роль в патогенезе множественной миеломы // А.А. Павлова, И.Е. Павлова, С.С. Бессмельцев // Medline.ru. -2013. Т. 14, № -2. -С. 313-335.</w:t>
      </w:r>
    </w:p>
    <w:p w:rsidR="00A11646" w:rsidRPr="00A11646" w:rsidRDefault="00A11646" w:rsidP="00A11646">
      <w:pPr>
        <w:pStyle w:val="a3"/>
        <w:numPr>
          <w:ilvl w:val="0"/>
          <w:numId w:val="8"/>
        </w:numPr>
        <w:spacing w:line="360" w:lineRule="auto"/>
        <w:ind w:left="0" w:firstLine="709"/>
        <w:jc w:val="both"/>
        <w:rPr>
          <w:color w:val="auto"/>
        </w:rPr>
      </w:pPr>
      <w:bookmarkStart w:id="252" w:name="_Hlk21109788"/>
      <w:r w:rsidRPr="00A11646">
        <w:rPr>
          <w:color w:val="auto"/>
        </w:rPr>
        <w:t xml:space="preserve">Русанова Е.Б. Биологические особенности трансформации плазматических клеток и лабораторная диагностика множественной миеломы. //Диссертация   на соиск. степени кандидата биологических наук, С.-Петербург, 2009, С 120.   </w:t>
      </w:r>
      <w:bookmarkEnd w:id="252"/>
    </w:p>
    <w:p w:rsidR="00A11646" w:rsidRPr="00A11646" w:rsidRDefault="00A11646" w:rsidP="00A11646">
      <w:pPr>
        <w:pStyle w:val="a3"/>
        <w:numPr>
          <w:ilvl w:val="0"/>
          <w:numId w:val="8"/>
        </w:numPr>
        <w:spacing w:line="360" w:lineRule="auto"/>
        <w:ind w:left="0" w:firstLine="709"/>
        <w:jc w:val="both"/>
        <w:rPr>
          <w:color w:val="auto"/>
        </w:rPr>
      </w:pPr>
      <w:bookmarkStart w:id="253" w:name="_Hlk21110386"/>
      <w:r w:rsidRPr="00A11646">
        <w:rPr>
          <w:color w:val="auto"/>
        </w:rPr>
        <w:t xml:space="preserve">Рыжко В.В., Клодзинский А.А., Варламова Е.Ю., Сатаева М.С., Капланская И.Б., Накастоев И.М., Параскевова О.В. «Несекретирующая» множественная миелома (обзор литературы и собственные наблюдения) /// Клиническая онкогематология. Фундаментальные исследования и клиническая практика. -2010. Т. 3, № 3. -С. 270-277. </w:t>
      </w:r>
    </w:p>
    <w:bookmarkEnd w:id="253"/>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Салогуб Г.Н., Степанова Н.В., Подгаецкая О.Ю. Поражение почек при множественной миеломе// Гематология и трансфузиология. -2010. Т. 55, № 3. -С. 25-33.</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 xml:space="preserve">Скворцов В.В., Лешина О.А.  Миеломная болезнь случай из практики / // Медицинский алфавит. -2012. -Т. 4, №24. -С. 56-58.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Скворцова Н.В., Мельникова Т.В., Мельниченко Е.В., Мишенин А.В. Эффективность таргентной терапии множественной миеломы с использованием ингибиторов протеасом / //Бюллетень Сибирского отделения Российской академии медицинских наук. -2011. Т. 31, -№ 2. -С. 94-100.</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Соколовский А.В., Вотякова О.М., Николаев А.П., Мусаев Э.Р. Сравнение и достоверность прогностических систем у пациентов с поражением позвоночника множественной миеломой и плазмоцитомой // Саркомы костей, мягких тканей и опухоли кожи. -2013.-№1. -С. 11-14.</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lastRenderedPageBreak/>
        <w:t xml:space="preserve">Човдхури П.Р. Инновационные методы диагностики множественной миеломы / П.Р. Човдхури, М.И. Крючков, Е.А. Зинина, С.П. Морозов, Б.М. Бродецкий // Терапевтический архив. -2011. Т. 83, № 4. -С. 1417.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rPr>
        <w:t>Чубукина Ж.В., Бубнова Л.Н., Бессмельцев С.С., Глазанова Г.В., Розанова О.Е., Павлова И.Е.  Неспецифические факторы защиты и гуморальный иммунитет у больных множественной миеломой // Медицина экстремальных ситуаций. -2012, № 2. -С. 93-98.</w:t>
      </w:r>
    </w:p>
    <w:p w:rsidR="00A11646" w:rsidRPr="00A11646" w:rsidRDefault="00A11646" w:rsidP="00A11646">
      <w:pPr>
        <w:pStyle w:val="a3"/>
        <w:numPr>
          <w:ilvl w:val="0"/>
          <w:numId w:val="8"/>
        </w:numPr>
        <w:spacing w:line="360" w:lineRule="auto"/>
        <w:ind w:left="0" w:firstLine="709"/>
        <w:jc w:val="both"/>
        <w:rPr>
          <w:color w:val="auto"/>
          <w:lang w:val="uz-Cyrl-UZ"/>
        </w:rPr>
      </w:pPr>
      <w:r w:rsidRPr="00A11646">
        <w:rPr>
          <w:color w:val="auto"/>
        </w:rPr>
        <w:t xml:space="preserve">Эффективность леналидомида, бортезомиба и преднизолона при лечении пациентов с рецидивирующей и рефрактерной множественной миеломой / Т.А. Митина [и др.] // Онкогематология. – 2015. – № 4(10). – С. 8-6. </w:t>
      </w:r>
    </w:p>
    <w:p w:rsidR="00A11646" w:rsidRPr="00A11646" w:rsidRDefault="00A11646" w:rsidP="00A11646">
      <w:pPr>
        <w:pStyle w:val="a3"/>
        <w:numPr>
          <w:ilvl w:val="0"/>
          <w:numId w:val="8"/>
        </w:numPr>
        <w:spacing w:line="360" w:lineRule="auto"/>
        <w:ind w:left="0" w:firstLine="709"/>
        <w:jc w:val="both"/>
        <w:rPr>
          <w:color w:val="auto"/>
          <w:lang w:val="uz-Cyrl-UZ"/>
        </w:rPr>
      </w:pPr>
      <w:bookmarkStart w:id="254" w:name="_Hlk20914299"/>
      <w:r w:rsidRPr="00A11646">
        <w:rPr>
          <w:color w:val="auto"/>
          <w:lang w:val="en-US"/>
        </w:rPr>
        <w:t>Adam Z., Krejci M., Tichy M. et al. The treatment of general failure in multiple myeloma // Vnitr. Lek. 2009. V. 55. P. 570–82.</w:t>
      </w:r>
    </w:p>
    <w:bookmarkEnd w:id="254"/>
    <w:p w:rsidR="00A11646" w:rsidRPr="00A11646" w:rsidRDefault="00A11646" w:rsidP="00A11646">
      <w:pPr>
        <w:pStyle w:val="a5"/>
        <w:numPr>
          <w:ilvl w:val="0"/>
          <w:numId w:val="8"/>
        </w:numPr>
        <w:ind w:left="0" w:firstLine="709"/>
        <w:jc w:val="both"/>
        <w:rPr>
          <w:rFonts w:ascii="Times New Roman" w:hAnsi="Times New Roman"/>
          <w:sz w:val="28"/>
          <w:szCs w:val="28"/>
          <w:lang w:val="en-US"/>
        </w:rPr>
      </w:pPr>
      <w:r w:rsidRPr="00A11646">
        <w:rPr>
          <w:rFonts w:ascii="Times New Roman" w:hAnsi="Times New Roman"/>
          <w:sz w:val="28"/>
          <w:szCs w:val="28"/>
          <w:lang w:val="en-US"/>
        </w:rPr>
        <w:t xml:space="preserve">Attal </w:t>
      </w:r>
      <w:r w:rsidRPr="00A11646">
        <w:rPr>
          <w:rFonts w:ascii="Times New Roman" w:hAnsi="Times New Roman"/>
          <w:sz w:val="28"/>
          <w:szCs w:val="28"/>
        </w:rPr>
        <w:t>М</w:t>
      </w:r>
      <w:r w:rsidRPr="00A11646">
        <w:rPr>
          <w:rFonts w:ascii="Times New Roman" w:hAnsi="Times New Roman"/>
          <w:sz w:val="28"/>
          <w:szCs w:val="28"/>
          <w:lang w:val="en-US"/>
        </w:rPr>
        <w:t>. et al. Lenalidomide, Bortezomib, and Dexamethasone with Transplantation for Myeloma// N Engl J Med. – 2017. – Vol. 376. №14. – P. 1311-1320.</w:t>
      </w:r>
    </w:p>
    <w:p w:rsidR="00A11646" w:rsidRPr="00A11646" w:rsidRDefault="00A11646" w:rsidP="00A11646">
      <w:pPr>
        <w:pStyle w:val="a3"/>
        <w:numPr>
          <w:ilvl w:val="0"/>
          <w:numId w:val="8"/>
        </w:numPr>
        <w:spacing w:line="360" w:lineRule="auto"/>
        <w:ind w:left="0" w:firstLine="709"/>
        <w:jc w:val="both"/>
        <w:rPr>
          <w:color w:val="auto"/>
          <w:lang w:val="en-US"/>
        </w:rPr>
      </w:pPr>
      <w:bookmarkStart w:id="255" w:name="_Hlk21109818"/>
      <w:r w:rsidRPr="00A11646">
        <w:rPr>
          <w:color w:val="auto"/>
          <w:lang w:val="en-US"/>
        </w:rPr>
        <w:t>Becker N. Epidemiology of multiple myeloma. Recent Results Cancer Res 2011;183:25-35. DOI: 10.1007/978-3- 540-85772-3_2. PMID: 21509679.</w:t>
      </w:r>
    </w:p>
    <w:p w:rsidR="00A11646" w:rsidRPr="00A11646" w:rsidRDefault="00A11646" w:rsidP="00A11646">
      <w:pPr>
        <w:pStyle w:val="a3"/>
        <w:numPr>
          <w:ilvl w:val="0"/>
          <w:numId w:val="8"/>
        </w:numPr>
        <w:spacing w:line="360" w:lineRule="auto"/>
        <w:ind w:left="0" w:firstLine="709"/>
        <w:jc w:val="both"/>
        <w:rPr>
          <w:color w:val="auto"/>
          <w:lang w:val="en-US"/>
        </w:rPr>
      </w:pPr>
      <w:bookmarkStart w:id="256" w:name="_Hlk8140054"/>
      <w:bookmarkEnd w:id="255"/>
      <w:r w:rsidRPr="00A11646">
        <w:rPr>
          <w:color w:val="auto"/>
          <w:lang w:val="en-US"/>
        </w:rPr>
        <w:t xml:space="preserve">Bhatnagar </w:t>
      </w:r>
      <w:bookmarkEnd w:id="256"/>
      <w:r w:rsidRPr="00A11646">
        <w:rPr>
          <w:color w:val="auto"/>
          <w:lang w:val="en-US"/>
        </w:rPr>
        <w:t>V. et al. FDA Approval Summary: Daratumumab for Treatment of Multiple Myeloma After One Prior Therapy // Oncologist. – 2017. – Vol. 22. №11. – P. 1347-1353.</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Bladé J., Fernández de Larrea C., Rosiñol L.et al. Soft-tissue plasmacytomas in multiple myeloma: incidence, mechanisms of extramedullary spread, and treatment approach. // J Clin Oncol. – 2011. – Vol. 29, N 28. – P. 3805-3812.</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Bouchnita A. et al. Bone marrow infiltration by multiple myeloma causes anemia by reversible disruption of erythropoiesis // Am J Hematol. – 2016. – Vol. 91. </w:t>
      </w:r>
      <w:r w:rsidRPr="00A11646">
        <w:rPr>
          <w:color w:val="auto"/>
        </w:rPr>
        <w:t xml:space="preserve">№4. – P. 371-378.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lastRenderedPageBreak/>
        <w:t xml:space="preserve">Brandelik S.C. et al. Focal lesions in whole-body MRI in multiple myeloma: Quantification of tumor mass and correlation with disease-related parameters and prognosis. // Radiologe. – 2017. – Vol. 58. №1. – P. 72-78.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 Brown S. et al. Myeloma UK Clinical Trials Network. The MUK five protocol: a phase II randomized, controlled, parallel group, multi-centre trial of carfilzomib, cyclophosphamide and dexamethasone (CCD) vs. cyclophosphamide, bortezomib (Velcade) and dexamethasone (CVD) for first relapse and primary refractory multiple myeloma // BMC Hematol. – 2016. – Vol. 16. – P. 1-10.</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Brya S. Bortezomib, Melphalan, and Prednisone (VMP) Regimen for Multiple Myeloma / S. Brya, D.A Solimando, J.A. Waddell // Hosp Pharm. – 2015. – Vol. 50. №1. – P. 25-30.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Carballo-Zarate A.A.  et al.  Additional-structural-chromosomal aberrations are associated with inferior clinical outcome in patients with hyperdiploid multiple myeloma: a single-institution experience. // Mod Pathol. – 2017. – Vol. 30. №6. – P. 843-853.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Castillo J.J., Gertz M.A. Secondary malignancies in patients with multiple myeloma, Waldenström macroglobulinemia and monoclonal gammopathy of undetermined significance // Leuk Lymphoma. – 2017. – Vol. 58. №4. – P. 73-780.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Chakraborty R. et al. Outcomes of maintenance therapy with lenalidomide or bortezomib in multiple myeloma in the setting of early autologous stem cell transplantation // Leukemia. – 2017. – Vol. 32. №3. – P. 712-718. </w:t>
      </w:r>
    </w:p>
    <w:p w:rsidR="00A11646" w:rsidRPr="008135F4" w:rsidRDefault="00A11646" w:rsidP="00A11646">
      <w:pPr>
        <w:pStyle w:val="a3"/>
        <w:numPr>
          <w:ilvl w:val="0"/>
          <w:numId w:val="8"/>
        </w:numPr>
        <w:spacing w:line="360" w:lineRule="auto"/>
        <w:ind w:left="0" w:firstLine="709"/>
        <w:jc w:val="both"/>
        <w:rPr>
          <w:color w:val="auto"/>
          <w:lang w:val="en-US"/>
        </w:rPr>
      </w:pPr>
      <w:r w:rsidRPr="00A11646">
        <w:rPr>
          <w:color w:val="auto"/>
          <w:lang w:val="en-US"/>
        </w:rPr>
        <w:t>Chen J.H., Chung C.H., Wang Y.C. et al. Prevalence and mortality-related factors of multiple myeloma in Taiwan. PLoS One 2016;11(12):e0167227. DOI: 10.1371/ journal.pone.0167227. PMID</w:t>
      </w:r>
      <w:r w:rsidRPr="008135F4">
        <w:rPr>
          <w:color w:val="auto"/>
          <w:lang w:val="en-US"/>
        </w:rPr>
        <w:t>: 27907052.</w:t>
      </w:r>
    </w:p>
    <w:p w:rsidR="00A11646" w:rsidRPr="00A11646" w:rsidRDefault="00A11646" w:rsidP="00A11646">
      <w:pPr>
        <w:pStyle w:val="a3"/>
        <w:numPr>
          <w:ilvl w:val="0"/>
          <w:numId w:val="8"/>
        </w:numPr>
        <w:spacing w:line="360" w:lineRule="auto"/>
        <w:ind w:left="0" w:firstLine="709"/>
        <w:jc w:val="both"/>
        <w:rPr>
          <w:color w:val="auto"/>
          <w:lang w:val="uz-Cyrl-UZ"/>
        </w:rPr>
      </w:pPr>
      <w:bookmarkStart w:id="257" w:name="_Hlk21110028"/>
      <w:r w:rsidRPr="00A11646">
        <w:rPr>
          <w:color w:val="auto"/>
          <w:lang w:val="en-US"/>
        </w:rPr>
        <w:t>Chen X.C., Chen X.Z. Epidemiological differences in haematological malignancies between Europe and China. LancetOncol</w:t>
      </w:r>
      <w:r w:rsidRPr="00A11646">
        <w:rPr>
          <w:color w:val="auto"/>
        </w:rPr>
        <w:t xml:space="preserve"> </w:t>
      </w:r>
      <w:r w:rsidRPr="00A11646">
        <w:rPr>
          <w:color w:val="auto"/>
        </w:rPr>
        <w:lastRenderedPageBreak/>
        <w:t xml:space="preserve">2014;15(11):471—2. </w:t>
      </w:r>
      <w:r w:rsidRPr="00A11646">
        <w:rPr>
          <w:color w:val="auto"/>
          <w:lang w:val="en-US"/>
        </w:rPr>
        <w:t>DOI</w:t>
      </w:r>
      <w:r w:rsidRPr="00A11646">
        <w:rPr>
          <w:color w:val="auto"/>
        </w:rPr>
        <w:t xml:space="preserve">: 10.1016/ </w:t>
      </w:r>
      <w:r w:rsidRPr="00A11646">
        <w:rPr>
          <w:color w:val="auto"/>
          <w:lang w:val="en-US"/>
        </w:rPr>
        <w:t>S</w:t>
      </w:r>
      <w:r w:rsidRPr="00A11646">
        <w:rPr>
          <w:color w:val="auto"/>
        </w:rPr>
        <w:t xml:space="preserve">1470-2045(14)70441-3. </w:t>
      </w:r>
      <w:r w:rsidRPr="00A11646">
        <w:rPr>
          <w:color w:val="auto"/>
          <w:lang w:val="en-US"/>
        </w:rPr>
        <w:t>PMID</w:t>
      </w:r>
      <w:r w:rsidRPr="00A11646">
        <w:rPr>
          <w:color w:val="auto"/>
        </w:rPr>
        <w:t>: 25281463.</w:t>
      </w:r>
    </w:p>
    <w:bookmarkEnd w:id="257"/>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Chen Y.K. et al.    Early mortality in multiple myeloma: Experiences from a single institution / // Hematology. – 2016. – Vol. 21. №7. – P. 392-398. </w:t>
      </w:r>
    </w:p>
    <w:p w:rsidR="00A11646" w:rsidRPr="00A11646" w:rsidRDefault="00A11646" w:rsidP="00A11646">
      <w:pPr>
        <w:pStyle w:val="a3"/>
        <w:numPr>
          <w:ilvl w:val="0"/>
          <w:numId w:val="8"/>
        </w:numPr>
        <w:spacing w:line="360" w:lineRule="auto"/>
        <w:ind w:left="0" w:firstLine="709"/>
        <w:jc w:val="both"/>
        <w:rPr>
          <w:color w:val="auto"/>
        </w:rPr>
      </w:pPr>
      <w:bookmarkStart w:id="258" w:name="_Hlk21110089"/>
      <w:r w:rsidRPr="00A11646">
        <w:rPr>
          <w:color w:val="auto"/>
          <w:lang w:val="en-US"/>
        </w:rPr>
        <w:t xml:space="preserve">Chng W.J. et al. IMWG consensus on risk stratification in multiple myeloma / // Leukemia. – 2014. – Vol. 28. №2. – P. 269-280. </w:t>
      </w:r>
    </w:p>
    <w:bookmarkEnd w:id="258"/>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Cho H. et al. Comprehensive evaluation of the revised international staging system in multiple myeloma patients treated with novel agents as a primary therapy // Am J Hematol. – 2017. – Vol. 92. №12. – P. 1280-1286.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Cid Ruzafa J., Merinopoulou E., Bagga- ley R.F. et al. Patient population with multiple myeloma and transitions across different lines of therapy in the USA: an epidemiologic model. Pharmacoepidemiol Drug Saf 2016;25(8):871—9. DOI: 10.1002/pds.3927. PMID: 27476979.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Cottini F. Anderson K. Novel therapeutic targets in multiple myeloma // Clin Adv Hematol Oncol. – 2015. – Vol. 13. №4. – P. 236-248. </w:t>
      </w:r>
    </w:p>
    <w:p w:rsidR="00A11646" w:rsidRPr="00A11646" w:rsidRDefault="00A11646" w:rsidP="00A11646">
      <w:pPr>
        <w:pStyle w:val="a3"/>
        <w:numPr>
          <w:ilvl w:val="0"/>
          <w:numId w:val="8"/>
        </w:numPr>
        <w:spacing w:line="360" w:lineRule="auto"/>
        <w:ind w:left="0" w:firstLine="709"/>
        <w:jc w:val="both"/>
        <w:rPr>
          <w:color w:val="auto"/>
          <w:lang w:val="en-US"/>
        </w:rPr>
      </w:pPr>
      <w:bookmarkStart w:id="259" w:name="_Hlk7974647"/>
      <w:r w:rsidRPr="00A11646">
        <w:rPr>
          <w:color w:val="auto"/>
          <w:lang w:val="en-US"/>
        </w:rPr>
        <w:t xml:space="preserve">Crusoe Ede Q., da Silva A.M., Agareno J. et al. </w:t>
      </w:r>
      <w:bookmarkEnd w:id="259"/>
      <w:r w:rsidRPr="00A11646">
        <w:rPr>
          <w:color w:val="auto"/>
          <w:lang w:val="en-US"/>
        </w:rPr>
        <w:t xml:space="preserve">Multiple myeloma: a rare case in an 8-year-old child. Clin Lymphoma Myeloma Leuk. 2015;15(1):e31—e3. DOI: 10.1016/j. clml.2014.08.004. PMID: 25441111.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De Haart, S.J. Accessory cells of the microenvironment protect multiple myeloma from T-cell cytotoxicity through cell adhesion-mediated immune resistance / S.J. de Haart, N.W. van de Donk, M.C. Minnema, J.H. Huang, T. Aarts-Riemens, N. Bovenschen, H. Yuan, R.W. Groen, D.W. McMillin, J. Jakubikova, H.M. Lokhorst, A.C. Martens, C.S. Mitsiades, T.Mutis // Clin Cancer Res. -2013. -V.19, №20. –P. 91-101.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 De la Puente, P. Contemporary drug therapies for multiple myeloma / P. de la Puente, A.K. Azab // Drugs Today (Barc). -2013, Sep. –V.49, №9. –P.63-73.</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lastRenderedPageBreak/>
        <w:t xml:space="preserve">De Mel S. et al. The Singapore Myeloma Study Group Consensus Guidelines for the management of patients with multiple myeloma  // Singapore Med J. – 2017. – Vol. 58. №2. – P. 55-71.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Dimopoulos M.A. et al. Carfilzomib or bortezomib in relapsed or refractory multiple myeloma (ENDEAVOR): an interim overall survival analysis of an open-label, randomised, phase 3 trial. // Lancet Oncol. – 2017. – Vol. 18. №10. – P. 1327-1337. </w:t>
      </w:r>
    </w:p>
    <w:p w:rsidR="00A11646" w:rsidRPr="008135F4"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Dimopoulos M.A. et al. Elotuzumab plus lenalidomide/dexamethasone for relapsed or refractory multiple myeloma: ELOQUENT-2 follow-up and post-hoc analyses on progression-free survival and tumour growth.// Br J Haematol. – 2017. – Vol. 178. №6. – P. 896-905. </w:t>
      </w:r>
    </w:p>
    <w:p w:rsidR="00A11646" w:rsidRPr="00A11646" w:rsidRDefault="00A11646" w:rsidP="00A11646">
      <w:pPr>
        <w:pStyle w:val="a3"/>
        <w:numPr>
          <w:ilvl w:val="0"/>
          <w:numId w:val="8"/>
        </w:numPr>
        <w:spacing w:line="360" w:lineRule="auto"/>
        <w:ind w:left="0" w:firstLine="709"/>
        <w:jc w:val="both"/>
        <w:rPr>
          <w:color w:val="auto"/>
          <w:lang w:val="en-US"/>
        </w:rPr>
      </w:pPr>
      <w:bookmarkStart w:id="260" w:name="_Hlk21110142"/>
      <w:r w:rsidRPr="00A11646">
        <w:rPr>
          <w:color w:val="auto"/>
          <w:lang w:val="en-US"/>
        </w:rPr>
        <w:t>Dogaru, M. Correlations among different markers determined by immunochemical methods used for the diagnosis and monitoring of intact immunoglobulin multiple myeloma cases / M. Dogaru, V. Lazăr, D. Coriu // Roum Arch Microbiol Immunol. -2012, Oct-Dec. V.-71, №4. –P.183-200.</w:t>
      </w:r>
    </w:p>
    <w:bookmarkEnd w:id="260"/>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Drach J. Clinical implication of genetic abnormalities in multiple myeloma. Hematology Education the education program for the annual congress of the Europ // Hematol. </w:t>
      </w:r>
      <w:r w:rsidRPr="00A11646">
        <w:rPr>
          <w:color w:val="auto"/>
        </w:rPr>
        <w:t xml:space="preserve">Association. 2008. P. 262–265.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Faiman B. Doss D., Colson K. Renal, GI, and Peripheral Nerves: Evidence-Based Recommendations for the Management of Symptoms and Care for Patients With Multiple Myeloma // Clin J Oncol Nurs. – 2017. – Vol. 21. №5. – P. 19-36.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Gao L.X. et al. Efficacy of Bortezomib for Maintenance therapy of Patients with Multiple Myeloma // Zhongguo Shi Yan Xue Ye Xue Za Zhi. – 2017. – Vol. 25. №4. – P. 1101-1104.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 Gay F. et al. Autologous transplant vs oral chemotherapy and lenalidomide in newly diagnosed young myeloma patients: a pooled analysis// Leukemia. – 2017. – Vol. 31. №8. – P. 1727-1734.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Gentile M. et al.Lenalidomide and low-dose dexamethasone (Rd) versus bortezomib, melphalan, prednisone (VMP) in elderly newly diagnosed </w:t>
      </w:r>
      <w:r w:rsidRPr="00A11646">
        <w:rPr>
          <w:color w:val="auto"/>
          <w:lang w:val="en-US"/>
        </w:rPr>
        <w:lastRenderedPageBreak/>
        <w:t xml:space="preserve">multiple myeloma patients: A comparison of two prospective trials   // Am J Hematol. – 2017. – Vol. 92. №3. – P. 244-250.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Grammatico S. et al. Bortezomib, melphalan, and prednisone in elderly relapsed/refractory multiple myeloma patients: update of multicenter, open-label Phase 1/2 study // Leuk Lymphoma. – 2017. – Vol. 58. №11. – P. 2738-2740.  </w:t>
      </w:r>
    </w:p>
    <w:p w:rsidR="00A11646" w:rsidRPr="00A11646" w:rsidRDefault="00A11646" w:rsidP="00A11646">
      <w:pPr>
        <w:pStyle w:val="a3"/>
        <w:numPr>
          <w:ilvl w:val="0"/>
          <w:numId w:val="8"/>
        </w:numPr>
        <w:spacing w:line="360" w:lineRule="auto"/>
        <w:ind w:left="0" w:firstLine="709"/>
        <w:jc w:val="both"/>
        <w:rPr>
          <w:color w:val="auto"/>
          <w:lang w:val="en-US"/>
        </w:rPr>
      </w:pPr>
      <w:bookmarkStart w:id="261" w:name="_Hlk20914166"/>
      <w:r w:rsidRPr="00A11646">
        <w:rPr>
          <w:color w:val="auto"/>
          <w:lang w:val="en-US"/>
        </w:rPr>
        <w:t xml:space="preserve">Haas R. et al. High-dose therapy and autologous peripheral blood stem cell transplantation in patients with multiple myeloma // Recent Results Cancer Res. – 2011. – Vol. 183. – P. 207-238. </w:t>
      </w:r>
    </w:p>
    <w:bookmarkEnd w:id="261"/>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Haidl F., Plesner T., Lund T. Treatment with bortezomib in multiple myeloma is associated with only a transient and brief increase of bone specific alkaline phosphatase // Leuk Res. – 2012. – Vol. 36. №10. – P. 1296-1299.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Hajek R. et al. Epidemiology of Multiple Myeloma in the Czech Republic // Clin Oncol. – 2017. – Vol. 30. Suppl. 2. – P. 35-42.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Hajek R. et al. Multiple myeloma: ESMO Clinical Practice Guidelines for diagnosis, treatment and follow-up. // Ann Oncol. – 2017. – Vol. 28. Suppl. 4. – P. 52-61. </w:t>
      </w:r>
    </w:p>
    <w:p w:rsidR="00A11646" w:rsidRPr="00A11646" w:rsidRDefault="00A11646" w:rsidP="00A11646">
      <w:pPr>
        <w:pStyle w:val="a3"/>
        <w:numPr>
          <w:ilvl w:val="0"/>
          <w:numId w:val="8"/>
        </w:numPr>
        <w:spacing w:line="360" w:lineRule="auto"/>
        <w:ind w:left="0" w:firstLine="709"/>
        <w:jc w:val="both"/>
        <w:rPr>
          <w:color w:val="auto"/>
          <w:lang w:val="en-US"/>
        </w:rPr>
      </w:pPr>
      <w:bookmarkStart w:id="262" w:name="_Hlk21110232"/>
      <w:r w:rsidRPr="00A11646">
        <w:rPr>
          <w:color w:val="auto"/>
          <w:lang w:val="en-US"/>
        </w:rPr>
        <w:t xml:space="preserve">Hanbali A. et al. The Evolution of Prognostic Factors in Multiple Myeloma. // Adv Hematol. – 2017. – Vol. 2017. – P. 1-11. </w:t>
      </w:r>
    </w:p>
    <w:bookmarkEnd w:id="262"/>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Hong J., Lee J.H. Recent advances in multiple myeloma: a Korean perspective. Korean J Intern Med 2016;31(5):820—34. DOI: 10.3904/kjim.2015.408. PMID: 27604794</w:t>
      </w:r>
      <w:r w:rsidRPr="00A11646">
        <w:rPr>
          <w:color w:val="auto"/>
        </w:rPr>
        <w:t>.</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Huang B.T. et </w:t>
      </w:r>
      <w:r w:rsidRPr="00A11646">
        <w:rPr>
          <w:color w:val="auto"/>
        </w:rPr>
        <w:t>а</w:t>
      </w:r>
      <w:r w:rsidRPr="00A11646">
        <w:rPr>
          <w:color w:val="auto"/>
          <w:lang w:val="en-US"/>
        </w:rPr>
        <w:t xml:space="preserve">l. How to determine bortezomib-based regimen for elderly patients with multiple myeloma: PAD versus CBd, an observational study. // J Cancer Res Clin Oncol. – 2014. – Vol. 140. №2. – P. 303-309.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International Myeloma Working Group guidelines for serum-free light chain analysis in multiple myeloma and related disorders / Dispenzieri A., Kyle R., Merlini G., Miguel J. S., Ludwig H., Palumbo A., Jagannath S., Blade J., Lonial S., Dimopoulous M., Comenzo R., Einsele. H., Barlogie B., Anderson </w:t>
      </w:r>
      <w:r w:rsidRPr="00A11646">
        <w:rPr>
          <w:color w:val="auto"/>
          <w:lang w:val="en-US"/>
        </w:rPr>
        <w:lastRenderedPageBreak/>
        <w:t>K., Gertz M., Harousseau J. L., Attal M., Tosi P., Sonneveld P., Boccadoro M., Morgan G., Richardson P., Sezer O., Mateos M. V., Cavo M., Joshua D., Turesson I., Chen W., Shimizu K., Powles R., Rajkumar S. V., Durie B. G. M. // Leukemia. — 2009. — Vol. 23, N 2. — P. 215—224.</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International Scoring System in Symptomatic Multiple Myeloma: Experience from a Tertiary Care Center / S. Sultan [et al.] // Asian Pac J Cancer Prev. – 2016. – Vol. 17. №4. – P. 2031-2033.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International uniform response criteria for multiple myeloma / B. Durie, J.L. Harousseau, J.S. Miguel </w:t>
      </w:r>
      <w:r w:rsidRPr="00A11646">
        <w:rPr>
          <w:color w:val="auto"/>
        </w:rPr>
        <w:t>е</w:t>
      </w:r>
      <w:r w:rsidRPr="00A11646">
        <w:rPr>
          <w:color w:val="auto"/>
          <w:lang w:val="en-US"/>
        </w:rPr>
        <w:t xml:space="preserve">t al. // Leukemia. – 2006. – Vol. 20, N 9. – P. 14671473.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 Jung S.H. et al. Risk factors associated with early mortality in patients with multiple myeloma who were treated upfront with a novel agents containing regimen  // BMC Cancer. – 2016. – Vol. 16. – P. 613. </w:t>
      </w:r>
    </w:p>
    <w:p w:rsidR="00A11646" w:rsidRPr="00A11646" w:rsidRDefault="00A11646" w:rsidP="00A11646">
      <w:pPr>
        <w:pStyle w:val="a3"/>
        <w:numPr>
          <w:ilvl w:val="0"/>
          <w:numId w:val="8"/>
        </w:numPr>
        <w:spacing w:line="360" w:lineRule="auto"/>
        <w:ind w:left="0" w:firstLine="709"/>
        <w:jc w:val="both"/>
        <w:rPr>
          <w:color w:val="auto"/>
          <w:lang w:val="en-US"/>
        </w:rPr>
      </w:pPr>
      <w:bookmarkStart w:id="263" w:name="_Hlk21110164"/>
      <w:r w:rsidRPr="00A11646">
        <w:rPr>
          <w:color w:val="auto"/>
          <w:lang w:val="en-US"/>
        </w:rPr>
        <w:t xml:space="preserve">Kachuri, L. Multiple pesticide exposures and the risk of multiple myeloma in Canadian men / L. Kachuri, P.A. Demers, A. Blair, J.J. Spinelli, M. Pahwa, J.R. McLaughlin, P. Pahwa, J.A. Dosman, S.A.Harris // Int J Cancer. 2013, -V.133, №8. –P.46-58. </w:t>
      </w:r>
    </w:p>
    <w:bookmarkEnd w:id="263"/>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Kastritis E. et al. Evaluation of the Revised International Staging System in an independent cohort of unselected patients with multiple myeloma / // Haematologica. – 2017. – Vol. 102. №3. – P. 593-599.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Kazandjian, D. A look backward and forward in the regulatory and treatment history of multiple myeloma: Approval of novel-novel agents, new drug development, and longer patient survival / D. Kazandjian O. Landgren // Semin Oncol. – 2016. – Vol. 43. №6. – P. 682-689. </w:t>
      </w:r>
    </w:p>
    <w:p w:rsidR="00A11646" w:rsidRPr="00A11646" w:rsidRDefault="00A11646" w:rsidP="00A11646">
      <w:pPr>
        <w:pStyle w:val="a3"/>
        <w:numPr>
          <w:ilvl w:val="0"/>
          <w:numId w:val="8"/>
        </w:numPr>
        <w:spacing w:line="360" w:lineRule="auto"/>
        <w:ind w:left="0" w:firstLine="709"/>
        <w:jc w:val="both"/>
        <w:rPr>
          <w:color w:val="auto"/>
        </w:rPr>
      </w:pPr>
      <w:bookmarkStart w:id="264" w:name="_Hlk21109922"/>
      <w:r w:rsidRPr="00A11646">
        <w:rPr>
          <w:color w:val="auto"/>
          <w:lang w:val="en-US"/>
        </w:rPr>
        <w:t xml:space="preserve">Kazandjian, D. Multiple myeloma epidemiology and survival: A unique malignancy / D. Kazandjian // Semin Oncol. – 2016. – Vol. 43. №6. – P. 676-681. </w:t>
      </w:r>
    </w:p>
    <w:bookmarkEnd w:id="264"/>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Koharazawa H. et al. Analysis of prognostic factors in transplant-eligeble newly diagnosed myeloma patients treated with bortezomib plus </w:t>
      </w:r>
      <w:r w:rsidRPr="00A11646">
        <w:rPr>
          <w:color w:val="auto"/>
          <w:lang w:val="en-US"/>
        </w:rPr>
        <w:lastRenderedPageBreak/>
        <w:t xml:space="preserve">dexamethasone as induction therapy. // RinshoKetsueki. – 2015. – Vol. 56. №4. – P. 392-399.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Kurmar S.K. et al. Multiple Myeloma, Version 3.2017, NCCN Clinical Practice Guidelines in Oncology / // J Natl ComprCancNetw. – 2017. – Vol. 15. №2. – P. 230-269.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Kyrtsonis M.C. Has the time come to reevaluate prognostic factors and to rebuild staging systems for multiple myeloma? // Eur J Haematol. – 2015. – Vol. 94. №2. – P. 95.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Lacognata C. et al. Diffusion-weighted whole-body MRI for evaluation of early response in multiple myeloma / // Clin Radiol. – 2017. – Vol. 72. №10. – P. 850-857.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Latifoltojar A. et al. Whole-body MRI quantitative biomarkers are associated significantly with treatment response in patients with newly diagnosed symptomatic multiple myeloma following bortezomib induction. // Eur Radiol. 2017. – Vol. 27. №12. – P. 5325-5336.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Lee J., Kim K. et al.Clinical profile of multiple myeloma in Asia – an Asian Myeloma Network (AMN) study / // ASH Annual Meeting Abstracts. – 2012. – Vol.120. – P. 5035.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 Lee S.Y. et al. Prognostic significance of focal lesions and diffuse infiltration on MRI for multiple myeloma: a meta-analysis. // Eur Radiol. – 2017. – Vol. 27. №6. – P. 2333-2347. </w:t>
      </w:r>
    </w:p>
    <w:p w:rsidR="00A11646" w:rsidRPr="008135F4"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Leiba M. et al. Translocation t(11; 14) in newly diagnosed patients with multiple myeloma: Is it always favorable?// Genes Chromosomes Cancer. – 2016. – Vol. 55. №9. – P. 710-718.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Liu X. et al.   Comparing efficacy and survivals of initial treatments for elderly patients with newly diagnosed multiple myeloma: a network meta-analysis of randomized controlled trials. // Onco Targets Ther. – 2016. – Vol. 10. – P. 121-128.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Lonial, S. Non-secretory myeloma: a clinician's guide / S. Lonial, J.L. Kaufman // Oncology (Williston Park). -2013, Sep. –V.27, №9. –P.4-8.</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lastRenderedPageBreak/>
        <w:t xml:space="preserve"> Lu J. et al. Prognostic value of the revised international staging system for newly diagnosed multiple myeloma patients// ZhonghuaXue Ye Xue Za Zhi. – 2017. – Vol. 38. №6. – P. 475-479.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Luciano J., Ilene K., OmelJ.Recent trends in multiple myeloma incidence and survival by age, race, and ethnicity in the United States // Blood. – 2017. – Vol. 1. №4. – P. 282-285.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 Mai E.K., Goldschmidt H. Clincal features and treatment of multiple myeloma. // Radiologe. – 2014. – Vol. 54. №6. – P. 538-544.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Mangiacavalli S. et al. The possible role of burden of therapy on the risk of myeloma extramedullary spread. // Ann Hematol. – 2017. – Vol. 96. №1. – P. 73-80.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Mateos M.V. et al. Outcomes with two different schedules of bortezomib, melphalan, and prednisone (VMP) for previously untreated multiple myeloma: matched pair analysis using long-term follow-up data from the phase 3 VISTA and PETHEMA/GEM05 trials. // Ann Hematol. – 2016. – Vol. 95. №12. – P. 2033-2041.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Mey U.J. Improved survival of older patients with multiple myeloma in the era of novel agents.// Hematol Oncol. – 2016. – Vol. 34. №4. – P. 217-223. </w:t>
      </w:r>
    </w:p>
    <w:p w:rsidR="00A11646" w:rsidRPr="00A11646" w:rsidRDefault="00A11646" w:rsidP="00A11646">
      <w:pPr>
        <w:pStyle w:val="a3"/>
        <w:numPr>
          <w:ilvl w:val="0"/>
          <w:numId w:val="8"/>
        </w:numPr>
        <w:spacing w:line="360" w:lineRule="auto"/>
        <w:ind w:left="0" w:firstLine="709"/>
        <w:jc w:val="both"/>
        <w:rPr>
          <w:color w:val="auto"/>
          <w:lang w:val="en-US"/>
        </w:rPr>
      </w:pPr>
      <w:bookmarkStart w:id="265" w:name="_Hlk20914230"/>
      <w:r w:rsidRPr="00A11646">
        <w:rPr>
          <w:color w:val="auto"/>
          <w:lang w:val="en-US"/>
        </w:rPr>
        <w:t xml:space="preserve">Mikhael J.R. Maintenance Lenalidomide after Transplantation in Multiple Myeloma Prolongs Survival-in Most.// J Clin Oncol. – 2017. – Vol. 35. №29. – P. 3269-3271.  </w:t>
      </w:r>
    </w:p>
    <w:p w:rsidR="00A11646" w:rsidRPr="00A11646" w:rsidRDefault="00A11646" w:rsidP="00A11646">
      <w:pPr>
        <w:pStyle w:val="a3"/>
        <w:numPr>
          <w:ilvl w:val="0"/>
          <w:numId w:val="8"/>
        </w:numPr>
        <w:spacing w:line="360" w:lineRule="auto"/>
        <w:ind w:left="0" w:firstLine="709"/>
        <w:jc w:val="both"/>
        <w:rPr>
          <w:color w:val="auto"/>
          <w:lang w:val="en-US"/>
        </w:rPr>
      </w:pPr>
      <w:bookmarkStart w:id="266" w:name="_Hlk20914190"/>
      <w:bookmarkEnd w:id="265"/>
      <w:r w:rsidRPr="00A11646">
        <w:rPr>
          <w:color w:val="auto"/>
          <w:lang w:val="en-US"/>
        </w:rPr>
        <w:t xml:space="preserve">Mimura N., Hideshima T., Anderson K.C. Novel therapeutic strategies for multiple myeloma / // Exp Hematol. – 2015. – Vol. 43. №8. – P. 732-41. </w:t>
      </w:r>
    </w:p>
    <w:bookmarkEnd w:id="266"/>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Moreau P. et al. VTD is superior to VCD prior to intensive therapy in multiple myeloma: results of the prospective IFM2013-04 trial.// Blood. – 2016. – Vol. 127. №21. – P. 2569-74. </w:t>
      </w:r>
    </w:p>
    <w:p w:rsidR="00A11646" w:rsidRPr="00A11646" w:rsidRDefault="00A11646" w:rsidP="00A11646">
      <w:pPr>
        <w:pStyle w:val="a3"/>
        <w:numPr>
          <w:ilvl w:val="0"/>
          <w:numId w:val="8"/>
        </w:numPr>
        <w:spacing w:line="360" w:lineRule="auto"/>
        <w:ind w:left="0" w:firstLine="709"/>
        <w:jc w:val="both"/>
        <w:rPr>
          <w:color w:val="auto"/>
          <w:lang w:val="en-US"/>
        </w:rPr>
      </w:pPr>
      <w:bookmarkStart w:id="267" w:name="_Hlk20914207"/>
      <w:r w:rsidRPr="00A11646">
        <w:rPr>
          <w:color w:val="auto"/>
          <w:lang w:val="en-US"/>
        </w:rPr>
        <w:lastRenderedPageBreak/>
        <w:t xml:space="preserve">Muchtar E.et al. Autologous stem cell transplant for multiple myeloma patients 70 years or older. // Bone Marrow Transplant. – 2016. – Vol. 51. №11. – P. 1449-1455.  </w:t>
      </w:r>
    </w:p>
    <w:bookmarkEnd w:id="267"/>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 Murakami H. et al. Diagnosis and prognostic factors in patients with multiple myeloma. // Nihon Rinsho. – 2012. – Vol. 70. Suppl. 2. – P. 584-588. 132.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 Nath C.E. et al.High melphalan exposure is associated with improved overall survival in myeloma patients receiving high dose melphalan and autologous transplantation.// Br J Clin Pharmacol. – 2016. – Vol. 82. №1. – P. 149-159.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Natural history of t(11; 14) multiple myeloma / // Leukemia. – 2018. – Vol. 32. №1. – P. 131-138.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Neben, K. Progression in smoldering myeloma is independently determined by the chromosomal abnormalities del(17p), t(4;14), gain 1q, hyperdiploidy, and tumor load / K. Neben, A. Jauch, T. Hielscher, J. Hillengass, N. Lehners, A. Seckinger, M. Granzow, M.S. Raab, A.D. Ho, H. Goldschmidt, D.Hose // J Clin Oncol. -2013, -V.1.-P.25-32.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Neri, P. Genomic instability in multiple myeloma: mechanisms and therapeutic implications / P Neri, N.J. Bahlis // Expert Opin Biol Ther. -2013, Jun. –V.13. -Suppl 1. –P. 69-82.</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 Oh S. et al. Chromosome 13 deletion and hypodiploidy on conventional cytogenetics are robust prognostic factors in Korean multiple myeloma patients: web-based multicenter registry study. // Ann Hematol. – 2014. – Vol. 93. №8. – P. 1353-1361.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  Ozaki S. et al. Reduced frequency treatment with bortezomib plus dexamethasone for elderly patients with relapsed and/or refractory multiple myeloma: a phase 2 study of the Japanese Myeloma Study Group (JMSG-0902) // Ann Hematol. – 2016. – Vol. 95. №6. – P. 921-929.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lastRenderedPageBreak/>
        <w:t xml:space="preserve">   Prediction of outcome in newly diagnosed myeloma: a meta-analysis of the molecular profiles of 1905 trial patients / V. Shah [et al.] // Leukemia. – 2017. – Vol. 32. №1. – P. 102-110. </w:t>
      </w:r>
    </w:p>
    <w:p w:rsidR="00A11646" w:rsidRPr="00A11646" w:rsidRDefault="00A11646" w:rsidP="00A11646">
      <w:pPr>
        <w:pStyle w:val="a3"/>
        <w:numPr>
          <w:ilvl w:val="0"/>
          <w:numId w:val="8"/>
        </w:numPr>
        <w:spacing w:line="360" w:lineRule="auto"/>
        <w:ind w:left="0" w:firstLine="709"/>
        <w:jc w:val="both"/>
        <w:rPr>
          <w:color w:val="auto"/>
        </w:rPr>
      </w:pPr>
      <w:bookmarkStart w:id="268" w:name="_Hlk21110117"/>
      <w:r w:rsidRPr="00A11646">
        <w:rPr>
          <w:color w:val="auto"/>
          <w:lang w:val="en-US"/>
        </w:rPr>
        <w:t xml:space="preserve">Pulte D. et al.  Trends in survival of multiple myeloma patients in Germany and the United States in the first decade of the 21st century. // Br J Haematol. – 2015. – Vol. 171. №2. – P. 189-196.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  Rajkumar, S.V. Multiple Myeloma: diagnosis and treatment / S.V. Rajkumar, S. Kumar [et al.] // Mayo Clin Proc. – 2016. – Vol. 91. №1. – P. 101-118. </w:t>
      </w:r>
      <w:bookmarkEnd w:id="268"/>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Rasche L. et al. Spatial genomic heterogeneity in multiple myeloma revealed by multiregion sequencing. // Nat Commun. – 2017. – Vol. 8. №1. – P. 268.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Ríos-Tamayo R. et al. Early mortality in multiple myeloma: the time-dependent impact of comorbidity: A population-based study in 621 real-life patients.// Am J Hematol. – 2016. – Vol. 91. №7. – P. 700-704. </w:t>
      </w:r>
    </w:p>
    <w:p w:rsidR="00A11646" w:rsidRPr="00A11646" w:rsidRDefault="00A11646" w:rsidP="00A11646">
      <w:pPr>
        <w:pStyle w:val="a3"/>
        <w:numPr>
          <w:ilvl w:val="0"/>
          <w:numId w:val="8"/>
        </w:numPr>
        <w:spacing w:line="360" w:lineRule="auto"/>
        <w:ind w:left="0" w:firstLine="709"/>
        <w:jc w:val="both"/>
        <w:rPr>
          <w:color w:val="auto"/>
          <w:lang w:val="en-US"/>
        </w:rPr>
      </w:pPr>
      <w:bookmarkStart w:id="269" w:name="_Hlk21109874"/>
      <w:r w:rsidRPr="00A11646">
        <w:rPr>
          <w:color w:val="auto"/>
          <w:lang w:val="en-US"/>
        </w:rPr>
        <w:t>Rosenberg P.S., Barker K.A., Anderson WF. Future distribution of multiple myeloma in the United States by sex, age, and race/ ethnicity. Blood 2015;125(2):410—</w:t>
      </w:r>
      <w:r w:rsidRPr="00A11646">
        <w:rPr>
          <w:color w:val="auto"/>
        </w:rPr>
        <w:t>41</w:t>
      </w:r>
      <w:r w:rsidRPr="00A11646">
        <w:rPr>
          <w:color w:val="auto"/>
          <w:lang w:val="en-US"/>
        </w:rPr>
        <w:t>2. DOI: 10.1182/blood-2014-10-609461. PMID: 25573972.</w:t>
      </w:r>
    </w:p>
    <w:bookmarkEnd w:id="269"/>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Rosiñol L. et al.Bortezomib and thalidomide maintenance after stem cell transplantation for multiple myeloma: a PETHEMA/GEM trial. // Leukemia. – 2017. – Vol. 31. №9. – P. 1922-1927.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Sonneveld P. et al. Bortezomib induction and maintenance treatment in patients with newly diagnosed multiple myeloma: results of the randomized phase III HOVON-65/ GMMGHD4 trial. // J Clin Oncol. – 2012. – Vol. 30. №24. – P. 29462955. </w:t>
      </w:r>
    </w:p>
    <w:p w:rsidR="00A11646" w:rsidRPr="00A11646" w:rsidRDefault="00A11646" w:rsidP="00A11646">
      <w:pPr>
        <w:pStyle w:val="a3"/>
        <w:numPr>
          <w:ilvl w:val="0"/>
          <w:numId w:val="8"/>
        </w:numPr>
        <w:spacing w:line="360" w:lineRule="auto"/>
        <w:ind w:left="0" w:firstLine="709"/>
        <w:jc w:val="both"/>
        <w:rPr>
          <w:color w:val="auto"/>
        </w:rPr>
      </w:pPr>
      <w:bookmarkStart w:id="270" w:name="_Hlk21110187"/>
      <w:r w:rsidRPr="00A11646">
        <w:rPr>
          <w:color w:val="auto"/>
          <w:lang w:val="en-US"/>
        </w:rPr>
        <w:t xml:space="preserve">Suehara Y. et al.  Abnormal heavy/light chain ratio after treatment is associated with shorter survival in patients with IgA myeloma / // Cancer Sci. – 2017. – Vol. 108. №2. – P. 187-192.  </w:t>
      </w:r>
    </w:p>
    <w:bookmarkEnd w:id="270"/>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lastRenderedPageBreak/>
        <w:t xml:space="preserve"> Suzuki K., Takahashi H.The epidemiology of multiple myeloma / // Nihon Rinsho. – 2015. – Vol. 73. №1. – P. 7-12.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  Tandon N. et al. Clinical utility of the Revised International Staging System in unselected patients with newly diagnosed and relapsed multiple myeloma / // Blood Cancer J. – 2017. – Vol. 7. №2. – P. 528.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Tolo, D.A. et al. Characteristics and Results of the Treatment of Multiple Myeloma in the Subject under the Age of 65 at the University Hospital of Yopougon in Abidjan, Côte d'Ivoire // Adv Hematol. -2013. –V. 10. –P. 34-39.;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 xml:space="preserve">Translocation t(11; 14) (q13; q32) and genomic imbalances in multi-ethnic multiple myeloma patients: a Malaysian study / I.B. Ni [et al.] // Hematol Rep. – 2012. – Vol. 4. №3. – P. 60-65. </w:t>
      </w:r>
    </w:p>
    <w:p w:rsidR="00A11646" w:rsidRPr="00A11646" w:rsidRDefault="00A11646" w:rsidP="00A11646">
      <w:pPr>
        <w:pStyle w:val="a3"/>
        <w:numPr>
          <w:ilvl w:val="0"/>
          <w:numId w:val="8"/>
        </w:numPr>
        <w:spacing w:line="360" w:lineRule="auto"/>
        <w:ind w:left="0" w:firstLine="709"/>
        <w:jc w:val="both"/>
        <w:rPr>
          <w:color w:val="auto"/>
          <w:lang w:val="en-US"/>
        </w:rPr>
      </w:pPr>
      <w:r w:rsidRPr="00A11646">
        <w:rPr>
          <w:color w:val="auto"/>
          <w:lang w:val="en-US"/>
        </w:rPr>
        <w:t xml:space="preserve"> Xing L.J. et al. Prognostic value of serum IL-6 in patients with multiple myeloma / // Zhongguo Shi Yan Xue Ye Xue Za Zhi. – 2013. – Vol. 21. №6. – P. 1492-1495.  </w:t>
      </w:r>
    </w:p>
    <w:p w:rsidR="00A11646" w:rsidRPr="00A11646" w:rsidRDefault="00A11646" w:rsidP="00A11646">
      <w:pPr>
        <w:pStyle w:val="a3"/>
        <w:numPr>
          <w:ilvl w:val="0"/>
          <w:numId w:val="8"/>
        </w:numPr>
        <w:spacing w:line="360" w:lineRule="auto"/>
        <w:ind w:left="0" w:firstLine="709"/>
        <w:jc w:val="both"/>
        <w:rPr>
          <w:color w:val="auto"/>
        </w:rPr>
      </w:pPr>
      <w:r w:rsidRPr="00A11646">
        <w:rPr>
          <w:color w:val="auto"/>
          <w:lang w:val="en-US"/>
        </w:rPr>
        <w:t>Yamabe K., Inoue S., Hiroshima C. Epidemiology and burden of multiple myeloma in Japan: a systematic review. Value Health 2015;18(7):A449. DOI: 10.1016/j. jval.2015.09.1129. PMID: 26532529.</w:t>
      </w:r>
    </w:p>
    <w:p w:rsidR="00A11646" w:rsidRPr="00A11646" w:rsidRDefault="00A11646" w:rsidP="00A11646">
      <w:pPr>
        <w:pStyle w:val="a3"/>
        <w:numPr>
          <w:ilvl w:val="0"/>
          <w:numId w:val="8"/>
        </w:numPr>
        <w:spacing w:line="360" w:lineRule="auto"/>
        <w:ind w:left="0" w:firstLine="709"/>
        <w:jc w:val="both"/>
        <w:rPr>
          <w:color w:val="auto"/>
        </w:rPr>
      </w:pPr>
      <w:bookmarkStart w:id="271" w:name="_Hlk21110418"/>
      <w:r w:rsidRPr="00A11646">
        <w:rPr>
          <w:color w:val="auto"/>
          <w:lang w:val="en-US"/>
        </w:rPr>
        <w:t xml:space="preserve">Yan S. et al.  Efficacy and prognosis of PAD combination therapy for fifty-six previously untreated patients with multiple myeloma / // ZhonghuaXue Ye Xue Za Zhi. – 2016. – Vol. 37. </w:t>
      </w:r>
      <w:r w:rsidRPr="00A11646">
        <w:rPr>
          <w:color w:val="auto"/>
        </w:rPr>
        <w:t xml:space="preserve">№6. – P. 520-522. </w:t>
      </w:r>
      <w:bookmarkEnd w:id="271"/>
    </w:p>
    <w:p w:rsidR="00A11646" w:rsidRPr="00A11646" w:rsidRDefault="00A11646" w:rsidP="00A11646">
      <w:pPr>
        <w:spacing w:after="160" w:line="360" w:lineRule="auto"/>
        <w:jc w:val="both"/>
        <w:rPr>
          <w:rFonts w:ascii="Times New Roman" w:hAnsi="Times New Roman"/>
          <w:sz w:val="28"/>
          <w:szCs w:val="28"/>
        </w:rPr>
      </w:pPr>
    </w:p>
    <w:p w:rsidR="00A11646" w:rsidRPr="00A11646" w:rsidRDefault="00A11646" w:rsidP="00A11646">
      <w:pPr>
        <w:spacing w:after="160" w:line="360" w:lineRule="auto"/>
        <w:jc w:val="both"/>
        <w:rPr>
          <w:rFonts w:ascii="Times New Roman" w:hAnsi="Times New Roman"/>
          <w:sz w:val="28"/>
          <w:szCs w:val="28"/>
        </w:rPr>
      </w:pPr>
    </w:p>
    <w:p w:rsidR="00190E3E" w:rsidRPr="00A11646" w:rsidRDefault="00190E3E" w:rsidP="00190E3E">
      <w:pPr>
        <w:jc w:val="both"/>
        <w:rPr>
          <w:rFonts w:ascii="Times New Roman" w:hAnsi="Times New Roman"/>
          <w:sz w:val="28"/>
          <w:szCs w:val="28"/>
        </w:rPr>
      </w:pPr>
    </w:p>
    <w:p w:rsidR="00190E3E" w:rsidRPr="00A11646" w:rsidRDefault="00190E3E" w:rsidP="00190E3E">
      <w:pPr>
        <w:spacing w:after="0" w:line="360" w:lineRule="auto"/>
        <w:jc w:val="both"/>
        <w:rPr>
          <w:rFonts w:ascii="Times New Roman" w:hAnsi="Times New Roman"/>
          <w:sz w:val="28"/>
          <w:szCs w:val="28"/>
        </w:rPr>
      </w:pPr>
      <w:r w:rsidRPr="00A11646">
        <w:rPr>
          <w:rFonts w:ascii="Times New Roman" w:hAnsi="Times New Roman"/>
          <w:sz w:val="28"/>
          <w:szCs w:val="28"/>
        </w:rPr>
        <w:t xml:space="preserve">   </w:t>
      </w:r>
    </w:p>
    <w:p w:rsidR="00190E3E" w:rsidRPr="00A11646" w:rsidRDefault="00190E3E" w:rsidP="00190E3E">
      <w:pPr>
        <w:spacing w:line="360" w:lineRule="auto"/>
        <w:jc w:val="both"/>
        <w:rPr>
          <w:rFonts w:ascii="Times New Roman" w:hAnsi="Times New Roman"/>
          <w:sz w:val="28"/>
          <w:szCs w:val="28"/>
        </w:rPr>
      </w:pPr>
      <w:r w:rsidRPr="00A11646">
        <w:rPr>
          <w:rFonts w:ascii="Times New Roman" w:hAnsi="Times New Roman"/>
          <w:sz w:val="28"/>
          <w:szCs w:val="28"/>
        </w:rPr>
        <w:tab/>
      </w:r>
    </w:p>
    <w:p w:rsidR="00190E3E" w:rsidRPr="00A11646" w:rsidRDefault="00190E3E" w:rsidP="00190E3E">
      <w:pPr>
        <w:jc w:val="both"/>
        <w:rPr>
          <w:rFonts w:ascii="Times New Roman" w:hAnsi="Times New Roman"/>
          <w:sz w:val="28"/>
          <w:szCs w:val="28"/>
        </w:rPr>
      </w:pPr>
    </w:p>
    <w:p w:rsidR="00D754DD" w:rsidRPr="00A11646" w:rsidRDefault="00190E3E" w:rsidP="00021400">
      <w:pPr>
        <w:jc w:val="both"/>
      </w:pPr>
      <w:r w:rsidRPr="00A11646">
        <w:rPr>
          <w:rFonts w:ascii="Times New Roman" w:hAnsi="Times New Roman"/>
          <w:sz w:val="28"/>
          <w:szCs w:val="28"/>
        </w:rPr>
        <w:tab/>
      </w:r>
      <w:r w:rsidRPr="00A11646">
        <w:rPr>
          <w:rFonts w:ascii="Times New Roman" w:hAnsi="Times New Roman"/>
          <w:sz w:val="28"/>
          <w:szCs w:val="28"/>
        </w:rPr>
        <w:cr/>
        <w:t xml:space="preserve">  </w:t>
      </w:r>
      <w:bookmarkEnd w:id="8"/>
    </w:p>
    <w:sectPr w:rsidR="00D754DD" w:rsidRPr="00A11646" w:rsidSect="00CA4766">
      <w:footerReference w:type="default" r:id="rId55"/>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A7C" w:rsidRDefault="00015A7C" w:rsidP="00A11646">
      <w:pPr>
        <w:spacing w:after="0" w:line="240" w:lineRule="auto"/>
      </w:pPr>
      <w:r>
        <w:separator/>
      </w:r>
    </w:p>
  </w:endnote>
  <w:endnote w:type="continuationSeparator" w:id="1">
    <w:p w:rsidR="00015A7C" w:rsidRDefault="00015A7C" w:rsidP="00A116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807442"/>
      <w:docPartObj>
        <w:docPartGallery w:val="Page Numbers (Bottom of Page)"/>
        <w:docPartUnique/>
      </w:docPartObj>
    </w:sdtPr>
    <w:sdtContent>
      <w:p w:rsidR="001E3562" w:rsidRDefault="001E3562">
        <w:pPr>
          <w:pStyle w:val="a9"/>
          <w:jc w:val="right"/>
        </w:pPr>
        <w:fldSimple w:instr="PAGE   \* MERGEFORMAT">
          <w:r w:rsidR="0018726D">
            <w:rPr>
              <w:noProof/>
            </w:rPr>
            <w:t>110</w:t>
          </w:r>
        </w:fldSimple>
      </w:p>
    </w:sdtContent>
  </w:sdt>
  <w:p w:rsidR="001E3562" w:rsidRDefault="001E356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A7C" w:rsidRDefault="00015A7C" w:rsidP="00A11646">
      <w:pPr>
        <w:spacing w:after="0" w:line="240" w:lineRule="auto"/>
      </w:pPr>
      <w:r>
        <w:separator/>
      </w:r>
    </w:p>
  </w:footnote>
  <w:footnote w:type="continuationSeparator" w:id="1">
    <w:p w:rsidR="00015A7C" w:rsidRDefault="00015A7C" w:rsidP="00A11646">
      <w:pPr>
        <w:spacing w:after="0" w:line="240" w:lineRule="auto"/>
      </w:pPr>
      <w:r>
        <w:continuationSeparator/>
      </w:r>
    </w:p>
  </w:footnote>
  <w:footnote w:id="2">
    <w:p w:rsidR="001E3562" w:rsidRPr="00BF5E91" w:rsidRDefault="001E3562" w:rsidP="008135F4">
      <w:pPr>
        <w:pStyle w:val="a3"/>
        <w:jc w:val="both"/>
        <w:rPr>
          <w:rFonts w:eastAsia="Times New Roman"/>
          <w:color w:val="000000" w:themeColor="text1"/>
          <w:sz w:val="22"/>
          <w:lang w:val="en-US"/>
        </w:rPr>
      </w:pPr>
      <w:r w:rsidRPr="00BF5E91">
        <w:rPr>
          <w:rStyle w:val="af"/>
          <w:rFonts w:eastAsia="Times New Roman"/>
          <w:color w:val="000000" w:themeColor="text1"/>
          <w:sz w:val="22"/>
        </w:rPr>
        <w:footnoteRef/>
      </w:r>
      <w:r w:rsidRPr="00BF5E91">
        <w:rPr>
          <w:rFonts w:eastAsia="Times New Roman"/>
          <w:color w:val="000000" w:themeColor="text1"/>
          <w:sz w:val="22"/>
          <w:lang w:val="en-US"/>
        </w:rPr>
        <w:t>Chen Y.K. et al.    Early mortality in multiple myeloma: Experiences from a single institution / // Hematology. – 2016. – Vol. 21. №7. – P. 392-398.</w:t>
      </w:r>
    </w:p>
  </w:footnote>
  <w:footnote w:id="3">
    <w:p w:rsidR="001E3562" w:rsidRDefault="001E3562" w:rsidP="00BF5E91">
      <w:pPr>
        <w:pStyle w:val="ad"/>
        <w:rPr>
          <w:rFonts w:ascii="Times New Roman" w:hAnsi="Times New Roman"/>
          <w:sz w:val="22"/>
          <w:szCs w:val="22"/>
        </w:rPr>
      </w:pPr>
      <w:r>
        <w:rPr>
          <w:rStyle w:val="af"/>
          <w:rFonts w:ascii="Times New Roman" w:hAnsi="Times New Roman"/>
          <w:sz w:val="22"/>
          <w:szCs w:val="22"/>
        </w:rPr>
        <w:footnoteRef/>
      </w:r>
      <w:r w:rsidRPr="008135F4">
        <w:rPr>
          <w:rFonts w:ascii="Times New Roman" w:hAnsi="Times New Roman"/>
          <w:sz w:val="22"/>
          <w:szCs w:val="22"/>
          <w:lang w:val="en-US"/>
        </w:rPr>
        <w:t xml:space="preserve"> Bhatnagar V. et al. FDA Approval Summary: Daratumumab for Treatment of Multiple Myeloma After One Prior Therapy // Oncologist. – 2017. – Vol. 22. </w:t>
      </w:r>
      <w:r>
        <w:rPr>
          <w:rFonts w:ascii="Times New Roman" w:hAnsi="Times New Roman"/>
          <w:sz w:val="22"/>
          <w:szCs w:val="22"/>
        </w:rPr>
        <w:t>№11. – P. 1347-1353.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0354"/>
    <w:multiLevelType w:val="multilevel"/>
    <w:tmpl w:val="779AE53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8B6FC2"/>
    <w:multiLevelType w:val="multilevel"/>
    <w:tmpl w:val="85DCD9E6"/>
    <w:lvl w:ilvl="0">
      <w:start w:val="2"/>
      <w:numFmt w:val="decimal"/>
      <w:lvlText w:val="%1."/>
      <w:lvlJc w:val="left"/>
      <w:pPr>
        <w:ind w:left="432" w:hanging="432"/>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2E4E242F"/>
    <w:multiLevelType w:val="hybridMultilevel"/>
    <w:tmpl w:val="CB04D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AB4650"/>
    <w:multiLevelType w:val="hybridMultilevel"/>
    <w:tmpl w:val="04EE9B5C"/>
    <w:lvl w:ilvl="0" w:tplc="FC166B0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4A8F1450"/>
    <w:multiLevelType w:val="hybridMultilevel"/>
    <w:tmpl w:val="19288D54"/>
    <w:lvl w:ilvl="0" w:tplc="AE7421A4">
      <w:start w:val="1"/>
      <w:numFmt w:val="decimal"/>
      <w:lvlText w:val="%1."/>
      <w:lvlJc w:val="left"/>
      <w:pPr>
        <w:ind w:left="92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7FD2D42"/>
    <w:multiLevelType w:val="hybridMultilevel"/>
    <w:tmpl w:val="01A690C0"/>
    <w:lvl w:ilvl="0" w:tplc="DB8C0DCE">
      <w:start w:val="1"/>
      <w:numFmt w:val="decimal"/>
      <w:lvlText w:val="%1."/>
      <w:lvlJc w:val="left"/>
      <w:pPr>
        <w:ind w:left="912" w:hanging="5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BD6E0F"/>
    <w:multiLevelType w:val="hybridMultilevel"/>
    <w:tmpl w:val="02167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3B1C17"/>
    <w:multiLevelType w:val="multilevel"/>
    <w:tmpl w:val="C60438B8"/>
    <w:lvl w:ilvl="0">
      <w:start w:val="1"/>
      <w:numFmt w:val="decimal"/>
      <w:lvlText w:val="%1."/>
      <w:lvlJc w:val="left"/>
      <w:pPr>
        <w:ind w:left="1068" w:hanging="360"/>
      </w:pPr>
      <w:rPr>
        <w:rFonts w:hint="default"/>
        <w:b w:val="0"/>
      </w:rPr>
    </w:lvl>
    <w:lvl w:ilvl="1">
      <w:start w:val="2"/>
      <w:numFmt w:val="decimal"/>
      <w:isLgl/>
      <w:lvlText w:val="%1.%2."/>
      <w:lvlJc w:val="left"/>
      <w:pPr>
        <w:ind w:left="1428"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0"/>
  </w:num>
  <w:num w:numId="2">
    <w:abstractNumId w:val="4"/>
  </w:num>
  <w:num w:numId="3">
    <w:abstractNumId w:val="7"/>
  </w:num>
  <w:num w:numId="4">
    <w:abstractNumId w:val="3"/>
  </w:num>
  <w:num w:numId="5">
    <w:abstractNumId w:val="1"/>
  </w:num>
  <w:num w:numId="6">
    <w:abstractNumId w:val="2"/>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hideSpellingErrors/>
  <w:defaultTabStop w:val="708"/>
  <w:characterSpacingControl w:val="doNotCompress"/>
  <w:footnotePr>
    <w:footnote w:id="0"/>
    <w:footnote w:id="1"/>
  </w:footnotePr>
  <w:endnotePr>
    <w:endnote w:id="0"/>
    <w:endnote w:id="1"/>
  </w:endnotePr>
  <w:compat/>
  <w:rsids>
    <w:rsidRoot w:val="00A6379F"/>
    <w:rsid w:val="00015A7C"/>
    <w:rsid w:val="00021400"/>
    <w:rsid w:val="00027344"/>
    <w:rsid w:val="00061897"/>
    <w:rsid w:val="00067259"/>
    <w:rsid w:val="00074BAD"/>
    <w:rsid w:val="00075BD4"/>
    <w:rsid w:val="00083017"/>
    <w:rsid w:val="00084915"/>
    <w:rsid w:val="000A2927"/>
    <w:rsid w:val="000C2FD6"/>
    <w:rsid w:val="000E4D89"/>
    <w:rsid w:val="000F239C"/>
    <w:rsid w:val="00132664"/>
    <w:rsid w:val="00164513"/>
    <w:rsid w:val="00175CF9"/>
    <w:rsid w:val="0018726D"/>
    <w:rsid w:val="00190E3E"/>
    <w:rsid w:val="001D3C2A"/>
    <w:rsid w:val="001E3562"/>
    <w:rsid w:val="00203556"/>
    <w:rsid w:val="00205AAB"/>
    <w:rsid w:val="0020638D"/>
    <w:rsid w:val="00222B70"/>
    <w:rsid w:val="00230801"/>
    <w:rsid w:val="00237C4B"/>
    <w:rsid w:val="002552B9"/>
    <w:rsid w:val="002B083C"/>
    <w:rsid w:val="002C1487"/>
    <w:rsid w:val="002E2DBB"/>
    <w:rsid w:val="003011F1"/>
    <w:rsid w:val="00303877"/>
    <w:rsid w:val="00306A1A"/>
    <w:rsid w:val="00354964"/>
    <w:rsid w:val="003617DC"/>
    <w:rsid w:val="00384F4E"/>
    <w:rsid w:val="003A2121"/>
    <w:rsid w:val="003A3234"/>
    <w:rsid w:val="003B5E77"/>
    <w:rsid w:val="003C7FFA"/>
    <w:rsid w:val="003F53C6"/>
    <w:rsid w:val="00414005"/>
    <w:rsid w:val="004647B8"/>
    <w:rsid w:val="004A20F9"/>
    <w:rsid w:val="004A42A4"/>
    <w:rsid w:val="004B480B"/>
    <w:rsid w:val="004C0D77"/>
    <w:rsid w:val="004D4900"/>
    <w:rsid w:val="004E1387"/>
    <w:rsid w:val="004E1D8F"/>
    <w:rsid w:val="004E767E"/>
    <w:rsid w:val="00530060"/>
    <w:rsid w:val="00536583"/>
    <w:rsid w:val="00537619"/>
    <w:rsid w:val="00567A85"/>
    <w:rsid w:val="0057013D"/>
    <w:rsid w:val="00581F0C"/>
    <w:rsid w:val="005A7D83"/>
    <w:rsid w:val="005A7F1A"/>
    <w:rsid w:val="005B7F7A"/>
    <w:rsid w:val="005E1744"/>
    <w:rsid w:val="00637343"/>
    <w:rsid w:val="00644EAF"/>
    <w:rsid w:val="006909DA"/>
    <w:rsid w:val="006C7568"/>
    <w:rsid w:val="006E27C0"/>
    <w:rsid w:val="006F050E"/>
    <w:rsid w:val="006F5747"/>
    <w:rsid w:val="00700382"/>
    <w:rsid w:val="00703BED"/>
    <w:rsid w:val="0071363E"/>
    <w:rsid w:val="00713F91"/>
    <w:rsid w:val="007165CC"/>
    <w:rsid w:val="00720C9C"/>
    <w:rsid w:val="00721A7D"/>
    <w:rsid w:val="0072269B"/>
    <w:rsid w:val="00722E36"/>
    <w:rsid w:val="00726031"/>
    <w:rsid w:val="0075001E"/>
    <w:rsid w:val="00772632"/>
    <w:rsid w:val="00783014"/>
    <w:rsid w:val="007C23AD"/>
    <w:rsid w:val="007C7980"/>
    <w:rsid w:val="007D0FA5"/>
    <w:rsid w:val="007D197B"/>
    <w:rsid w:val="00801BFD"/>
    <w:rsid w:val="008135F4"/>
    <w:rsid w:val="00852395"/>
    <w:rsid w:val="0086689F"/>
    <w:rsid w:val="008676C8"/>
    <w:rsid w:val="00876211"/>
    <w:rsid w:val="008840A6"/>
    <w:rsid w:val="008C5A9B"/>
    <w:rsid w:val="008E3151"/>
    <w:rsid w:val="008F0F16"/>
    <w:rsid w:val="00906E7F"/>
    <w:rsid w:val="009145CB"/>
    <w:rsid w:val="00915779"/>
    <w:rsid w:val="00925D2B"/>
    <w:rsid w:val="00926214"/>
    <w:rsid w:val="009511FC"/>
    <w:rsid w:val="00963A3F"/>
    <w:rsid w:val="009718ED"/>
    <w:rsid w:val="009D1100"/>
    <w:rsid w:val="009E0927"/>
    <w:rsid w:val="00A03497"/>
    <w:rsid w:val="00A11646"/>
    <w:rsid w:val="00A202D2"/>
    <w:rsid w:val="00A32487"/>
    <w:rsid w:val="00A6379F"/>
    <w:rsid w:val="00A86DF1"/>
    <w:rsid w:val="00A9422A"/>
    <w:rsid w:val="00A953AF"/>
    <w:rsid w:val="00A964C1"/>
    <w:rsid w:val="00AA02DF"/>
    <w:rsid w:val="00AC34B9"/>
    <w:rsid w:val="00AE6959"/>
    <w:rsid w:val="00AF3331"/>
    <w:rsid w:val="00B05A09"/>
    <w:rsid w:val="00B368AA"/>
    <w:rsid w:val="00B41A3A"/>
    <w:rsid w:val="00B43F6E"/>
    <w:rsid w:val="00B547C2"/>
    <w:rsid w:val="00B5580D"/>
    <w:rsid w:val="00B579A8"/>
    <w:rsid w:val="00B86484"/>
    <w:rsid w:val="00B875EA"/>
    <w:rsid w:val="00B939E3"/>
    <w:rsid w:val="00B97471"/>
    <w:rsid w:val="00BD388F"/>
    <w:rsid w:val="00BF5E91"/>
    <w:rsid w:val="00C02F6B"/>
    <w:rsid w:val="00C0625C"/>
    <w:rsid w:val="00C23430"/>
    <w:rsid w:val="00C328C9"/>
    <w:rsid w:val="00C92382"/>
    <w:rsid w:val="00CA1400"/>
    <w:rsid w:val="00CA4766"/>
    <w:rsid w:val="00CB28FD"/>
    <w:rsid w:val="00CB64FE"/>
    <w:rsid w:val="00CD49C3"/>
    <w:rsid w:val="00CE791A"/>
    <w:rsid w:val="00CF210F"/>
    <w:rsid w:val="00CF7CD8"/>
    <w:rsid w:val="00D24BD7"/>
    <w:rsid w:val="00D535B5"/>
    <w:rsid w:val="00D754DD"/>
    <w:rsid w:val="00DB06A2"/>
    <w:rsid w:val="00DB7EA1"/>
    <w:rsid w:val="00DC1E71"/>
    <w:rsid w:val="00DD7373"/>
    <w:rsid w:val="00E14BA0"/>
    <w:rsid w:val="00E17B63"/>
    <w:rsid w:val="00E41F46"/>
    <w:rsid w:val="00E62092"/>
    <w:rsid w:val="00E639CD"/>
    <w:rsid w:val="00E71B30"/>
    <w:rsid w:val="00E86D68"/>
    <w:rsid w:val="00F13268"/>
    <w:rsid w:val="00F75B16"/>
    <w:rsid w:val="00FC04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4" type="connector" idref="#Прямая со стрелкой 9"/>
        <o:r id="V:Rule5" type="connector" idref="#Прямая со стрелкой 7"/>
        <o:r id="V:Rule6"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E71"/>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754DD"/>
    <w:pPr>
      <w:spacing w:after="0" w:line="240" w:lineRule="auto"/>
    </w:pPr>
    <w:rPr>
      <w:rFonts w:ascii="Times New Roman" w:eastAsiaTheme="minorEastAsia" w:hAnsi="Times New Roman" w:cs="Times New Roman"/>
      <w:color w:val="F79646" w:themeColor="accent6"/>
      <w:sz w:val="28"/>
      <w:szCs w:val="28"/>
    </w:rPr>
  </w:style>
  <w:style w:type="character" w:customStyle="1" w:styleId="a4">
    <w:name w:val="Без интервала Знак"/>
    <w:link w:val="a3"/>
    <w:uiPriority w:val="99"/>
    <w:locked/>
    <w:rsid w:val="00D754DD"/>
    <w:rPr>
      <w:rFonts w:ascii="Times New Roman" w:eastAsiaTheme="minorEastAsia" w:hAnsi="Times New Roman" w:cs="Times New Roman"/>
      <w:color w:val="F79646" w:themeColor="accent6"/>
      <w:sz w:val="28"/>
      <w:szCs w:val="28"/>
    </w:rPr>
  </w:style>
  <w:style w:type="character" w:customStyle="1" w:styleId="apple-converted-space">
    <w:name w:val="apple-converted-space"/>
    <w:basedOn w:val="a0"/>
    <w:rsid w:val="00D754DD"/>
  </w:style>
  <w:style w:type="character" w:customStyle="1" w:styleId="hl">
    <w:name w:val="hl"/>
    <w:basedOn w:val="a0"/>
    <w:rsid w:val="00D754DD"/>
  </w:style>
  <w:style w:type="paragraph" w:styleId="a5">
    <w:name w:val="List Paragraph"/>
    <w:basedOn w:val="a"/>
    <w:uiPriority w:val="34"/>
    <w:qFormat/>
    <w:rsid w:val="00D754DD"/>
    <w:pPr>
      <w:ind w:left="720"/>
      <w:contextualSpacing/>
    </w:pPr>
    <w:rPr>
      <w:rFonts w:eastAsiaTheme="minorHAnsi" w:cstheme="minorBidi"/>
      <w:lang w:eastAsia="en-US"/>
    </w:rPr>
  </w:style>
  <w:style w:type="table" w:styleId="a6">
    <w:name w:val="Table Grid"/>
    <w:basedOn w:val="a1"/>
    <w:uiPriority w:val="39"/>
    <w:rsid w:val="00D75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D754DD"/>
    <w:pPr>
      <w:tabs>
        <w:tab w:val="center" w:pos="4677"/>
        <w:tab w:val="right" w:pos="9355"/>
      </w:tabs>
      <w:spacing w:after="0" w:line="240" w:lineRule="auto"/>
    </w:pPr>
    <w:rPr>
      <w:rFonts w:eastAsiaTheme="minorHAnsi" w:cstheme="minorBidi"/>
      <w:lang w:eastAsia="en-US"/>
    </w:rPr>
  </w:style>
  <w:style w:type="character" w:customStyle="1" w:styleId="a8">
    <w:name w:val="Верхний колонтитул Знак"/>
    <w:basedOn w:val="a0"/>
    <w:link w:val="a7"/>
    <w:uiPriority w:val="99"/>
    <w:rsid w:val="00D754DD"/>
  </w:style>
  <w:style w:type="paragraph" w:styleId="a9">
    <w:name w:val="footer"/>
    <w:basedOn w:val="a"/>
    <w:link w:val="aa"/>
    <w:uiPriority w:val="99"/>
    <w:unhideWhenUsed/>
    <w:rsid w:val="00D754DD"/>
    <w:pPr>
      <w:tabs>
        <w:tab w:val="center" w:pos="4677"/>
        <w:tab w:val="right" w:pos="9355"/>
      </w:tabs>
      <w:spacing w:after="0" w:line="240" w:lineRule="auto"/>
    </w:pPr>
    <w:rPr>
      <w:rFonts w:eastAsiaTheme="minorHAnsi" w:cstheme="minorBidi"/>
      <w:lang w:eastAsia="en-US"/>
    </w:rPr>
  </w:style>
  <w:style w:type="character" w:customStyle="1" w:styleId="aa">
    <w:name w:val="Нижний колонтитул Знак"/>
    <w:basedOn w:val="a0"/>
    <w:link w:val="a9"/>
    <w:uiPriority w:val="99"/>
    <w:rsid w:val="00D754DD"/>
  </w:style>
  <w:style w:type="character" w:customStyle="1" w:styleId="ab">
    <w:name w:val="Текст выноски Знак"/>
    <w:basedOn w:val="a0"/>
    <w:link w:val="ac"/>
    <w:uiPriority w:val="99"/>
    <w:semiHidden/>
    <w:rsid w:val="00C328C9"/>
    <w:rPr>
      <w:rFonts w:ascii="Segoe UI" w:hAnsi="Segoe UI" w:cs="Segoe UI"/>
      <w:sz w:val="18"/>
      <w:szCs w:val="18"/>
    </w:rPr>
  </w:style>
  <w:style w:type="paragraph" w:styleId="ac">
    <w:name w:val="Balloon Text"/>
    <w:basedOn w:val="a"/>
    <w:link w:val="ab"/>
    <w:uiPriority w:val="99"/>
    <w:semiHidden/>
    <w:unhideWhenUsed/>
    <w:rsid w:val="00C328C9"/>
    <w:pPr>
      <w:spacing w:after="0" w:line="240" w:lineRule="auto"/>
    </w:pPr>
    <w:rPr>
      <w:rFonts w:ascii="Segoe UI" w:eastAsiaTheme="minorHAnsi" w:hAnsi="Segoe UI" w:cs="Segoe UI"/>
      <w:sz w:val="18"/>
      <w:szCs w:val="18"/>
      <w:lang w:eastAsia="en-US"/>
    </w:rPr>
  </w:style>
  <w:style w:type="table" w:customStyle="1" w:styleId="1">
    <w:name w:val="Сетка таблицы1"/>
    <w:basedOn w:val="a1"/>
    <w:next w:val="a6"/>
    <w:uiPriority w:val="59"/>
    <w:rsid w:val="0019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39"/>
    <w:rsid w:val="00190E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190E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aliases w:val="Знак Знак Знак,Char,Текст сноски Знак1,Текст сноски Знак Знак,Текст сноски Знак2 Знак Знак,Текст сноски Знак Знак Знак1 Знак,Char Знак2 Знак Знак,Char Знак Знак Знак Знак,Текст сноски Знак1 Знак Знак Знак,список,Cha,Знак"/>
    <w:basedOn w:val="a"/>
    <w:link w:val="ae"/>
    <w:unhideWhenUsed/>
    <w:rsid w:val="00303877"/>
    <w:rPr>
      <w:rFonts w:ascii="Calibri" w:eastAsia="Times New Roman" w:hAnsi="Calibri"/>
      <w:sz w:val="20"/>
      <w:szCs w:val="20"/>
    </w:rPr>
  </w:style>
  <w:style w:type="character" w:customStyle="1" w:styleId="ae">
    <w:name w:val="Текст сноски Знак"/>
    <w:aliases w:val="Знак Знак Знак Знак,Char Знак,Текст сноски Знак1 Знак,Текст сноски Знак Знак Знак,Текст сноски Знак2 Знак Знак Знак,Текст сноски Знак Знак Знак1 Знак Знак,Char Знак2 Знак Знак Знак,Char Знак Знак Знак Знак Знак,список Знак,Cha Знак"/>
    <w:basedOn w:val="a0"/>
    <w:link w:val="ad"/>
    <w:rsid w:val="00303877"/>
    <w:rPr>
      <w:rFonts w:ascii="Calibri" w:eastAsia="Times New Roman" w:hAnsi="Calibri" w:cs="Times New Roman"/>
      <w:sz w:val="20"/>
      <w:szCs w:val="20"/>
    </w:rPr>
  </w:style>
  <w:style w:type="character" w:styleId="af">
    <w:name w:val="footnote reference"/>
    <w:unhideWhenUsed/>
    <w:rsid w:val="00303877"/>
    <w:rPr>
      <w:vertAlign w:val="superscript"/>
    </w:rPr>
  </w:style>
</w:styles>
</file>

<file path=word/webSettings.xml><?xml version="1.0" encoding="utf-8"?>
<w:webSettings xmlns:r="http://schemas.openxmlformats.org/officeDocument/2006/relationships" xmlns:w="http://schemas.openxmlformats.org/wordprocessingml/2006/main">
  <w:divs>
    <w:div w:id="14071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diagramColors" Target="diagrams/colors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chart" Target="charts/chart3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hart" Target="charts/chart34.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package" Target="../embeddings/_____Microsoft_Office_Excel11.xlsx"/><Relationship Id="rId4" Type="http://schemas.openxmlformats.org/officeDocument/2006/relationships/image" Target="../media/image7.jpeg"/></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6.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9.xml"/></Relationships>
</file>

<file path=word/charts/_rels/chart36.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themeOverride" Target="../theme/themeOverride10.xml"/><Relationship Id="rId4"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themeOverride" Target="../theme/themeOverride11.xml"/><Relationship Id="rId4" Type="http://schemas.openxmlformats.org/officeDocument/2006/relationships/package" Target="../embeddings/_____Microsoft_Office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общее количество больных</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 20 до 30 лет</c:v>
                </c:pt>
                <c:pt idx="1">
                  <c:v>от 30 до 40 лет</c:v>
                </c:pt>
                <c:pt idx="2">
                  <c:v>от 40 до 50 лет</c:v>
                </c:pt>
                <c:pt idx="3">
                  <c:v>от 50 до 60 лет</c:v>
                </c:pt>
                <c:pt idx="4">
                  <c:v>от 60 до 70 лет</c:v>
                </c:pt>
                <c:pt idx="5">
                  <c:v>от 70 до 80 лет</c:v>
                </c:pt>
              </c:strCache>
            </c:strRef>
          </c:cat>
          <c:val>
            <c:numRef>
              <c:f>Лист1!$B$2:$B$7</c:f>
              <c:numCache>
                <c:formatCode>General</c:formatCode>
                <c:ptCount val="6"/>
                <c:pt idx="0">
                  <c:v>2</c:v>
                </c:pt>
                <c:pt idx="1">
                  <c:v>10</c:v>
                </c:pt>
                <c:pt idx="2">
                  <c:v>23</c:v>
                </c:pt>
                <c:pt idx="3">
                  <c:v>55</c:v>
                </c:pt>
                <c:pt idx="4">
                  <c:v>27</c:v>
                </c:pt>
                <c:pt idx="5">
                  <c:v>7</c:v>
                </c:pt>
              </c:numCache>
            </c:numRef>
          </c:val>
          <c:extLst xmlns:c16r2="http://schemas.microsoft.com/office/drawing/2015/06/chart">
            <c:ext xmlns:c16="http://schemas.microsoft.com/office/drawing/2014/chart" uri="{C3380CC4-5D6E-409C-BE32-E72D297353CC}">
              <c16:uniqueId val="{00000000-CB31-4D4F-BEE8-A91649A9B273}"/>
            </c:ext>
          </c:extLst>
        </c:ser>
        <c:ser>
          <c:idx val="1"/>
          <c:order val="1"/>
          <c:tx>
            <c:strRef>
              <c:f>Лист1!$C$1</c:f>
              <c:strCache>
                <c:ptCount val="1"/>
                <c:pt idx="0">
                  <c:v>мужчины</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 20 до 30 лет</c:v>
                </c:pt>
                <c:pt idx="1">
                  <c:v>от 30 до 40 лет</c:v>
                </c:pt>
                <c:pt idx="2">
                  <c:v>от 40 до 50 лет</c:v>
                </c:pt>
                <c:pt idx="3">
                  <c:v>от 50 до 60 лет</c:v>
                </c:pt>
                <c:pt idx="4">
                  <c:v>от 60 до 70 лет</c:v>
                </c:pt>
                <c:pt idx="5">
                  <c:v>от 70 до 80 лет</c:v>
                </c:pt>
              </c:strCache>
            </c:strRef>
          </c:cat>
          <c:val>
            <c:numRef>
              <c:f>Лист1!$C$2:$C$7</c:f>
              <c:numCache>
                <c:formatCode>General</c:formatCode>
                <c:ptCount val="6"/>
                <c:pt idx="0">
                  <c:v>1</c:v>
                </c:pt>
                <c:pt idx="1">
                  <c:v>5</c:v>
                </c:pt>
                <c:pt idx="2">
                  <c:v>12</c:v>
                </c:pt>
                <c:pt idx="3">
                  <c:v>20</c:v>
                </c:pt>
                <c:pt idx="4">
                  <c:v>17</c:v>
                </c:pt>
                <c:pt idx="5">
                  <c:v>4</c:v>
                </c:pt>
              </c:numCache>
            </c:numRef>
          </c:val>
          <c:extLst xmlns:c16r2="http://schemas.microsoft.com/office/drawing/2015/06/chart">
            <c:ext xmlns:c16="http://schemas.microsoft.com/office/drawing/2014/chart" uri="{C3380CC4-5D6E-409C-BE32-E72D297353CC}">
              <c16:uniqueId val="{00000001-CB31-4D4F-BEE8-A91649A9B273}"/>
            </c:ext>
          </c:extLst>
        </c:ser>
        <c:ser>
          <c:idx val="2"/>
          <c:order val="2"/>
          <c:tx>
            <c:strRef>
              <c:f>Лист1!$D$1</c:f>
              <c:strCache>
                <c:ptCount val="1"/>
                <c:pt idx="0">
                  <c:v>женщины</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 20 до 30 лет</c:v>
                </c:pt>
                <c:pt idx="1">
                  <c:v>от 30 до 40 лет</c:v>
                </c:pt>
                <c:pt idx="2">
                  <c:v>от 40 до 50 лет</c:v>
                </c:pt>
                <c:pt idx="3">
                  <c:v>от 50 до 60 лет</c:v>
                </c:pt>
                <c:pt idx="4">
                  <c:v>от 60 до 70 лет</c:v>
                </c:pt>
                <c:pt idx="5">
                  <c:v>от 70 до 80 лет</c:v>
                </c:pt>
              </c:strCache>
            </c:strRef>
          </c:cat>
          <c:val>
            <c:numRef>
              <c:f>Лист1!$D$2:$D$7</c:f>
              <c:numCache>
                <c:formatCode>General</c:formatCode>
                <c:ptCount val="6"/>
                <c:pt idx="0">
                  <c:v>1</c:v>
                </c:pt>
                <c:pt idx="1">
                  <c:v>5</c:v>
                </c:pt>
                <c:pt idx="2">
                  <c:v>11</c:v>
                </c:pt>
                <c:pt idx="3">
                  <c:v>35</c:v>
                </c:pt>
                <c:pt idx="4">
                  <c:v>10</c:v>
                </c:pt>
                <c:pt idx="5">
                  <c:v>3</c:v>
                </c:pt>
              </c:numCache>
            </c:numRef>
          </c:val>
          <c:extLst xmlns:c16r2="http://schemas.microsoft.com/office/drawing/2015/06/chart">
            <c:ext xmlns:c16="http://schemas.microsoft.com/office/drawing/2014/chart" uri="{C3380CC4-5D6E-409C-BE32-E72D297353CC}">
              <c16:uniqueId val="{00000002-CB31-4D4F-BEE8-A91649A9B273}"/>
            </c:ext>
          </c:extLst>
        </c:ser>
        <c:gapWidth val="219"/>
        <c:overlap val="-27"/>
        <c:axId val="78897152"/>
        <c:axId val="87202048"/>
      </c:barChart>
      <c:catAx>
        <c:axId val="78897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202048"/>
        <c:crosses val="autoZero"/>
        <c:auto val="1"/>
        <c:lblAlgn val="ctr"/>
        <c:lblOffset val="100"/>
      </c:catAx>
      <c:valAx>
        <c:axId val="87202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971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плазмоцитов</a:t>
            </a:r>
          </a:p>
        </c:rich>
      </c:tx>
      <c:spPr>
        <a:noFill/>
        <a:ln>
          <a:noFill/>
        </a:ln>
        <a:effectLst/>
      </c:spPr>
    </c:title>
    <c:plotArea>
      <c:layout/>
      <c:barChart>
        <c:barDir val="col"/>
        <c:grouping val="clustered"/>
        <c:ser>
          <c:idx val="0"/>
          <c:order val="0"/>
          <c:tx>
            <c:strRef>
              <c:f>Лист1!$B$1</c:f>
              <c:strCache>
                <c:ptCount val="1"/>
                <c:pt idx="0">
                  <c:v>IgGκ</c:v>
                </c:pt>
              </c:strCache>
            </c:strRef>
          </c:tx>
          <c:spPr>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dPt>
            <c:idx val="1"/>
            <c:spPr>
              <a:gradFill>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extLst xmlns:c16r2="http://schemas.microsoft.com/office/drawing/2015/06/chart">
              <c:ext xmlns:c16="http://schemas.microsoft.com/office/drawing/2014/chart" uri="{C3380CC4-5D6E-409C-BE32-E72D297353CC}">
                <c16:uniqueId val="{00000001-805B-4C52-815A-F56CBC68306B}"/>
              </c:ext>
            </c:extLst>
          </c:dPt>
          <c:dPt>
            <c:idx val="2"/>
            <c:spPr>
              <a:gradFill>
                <a:gsLst>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extLst xmlns:c16r2="http://schemas.microsoft.com/office/drawing/2015/06/chart">
              <c:ext xmlns:c16="http://schemas.microsoft.com/office/drawing/2014/chart" uri="{C3380CC4-5D6E-409C-BE32-E72D297353CC}">
                <c16:uniqueId val="{00000003-805B-4C52-815A-F56CBC68306B}"/>
              </c:ext>
            </c:extLst>
          </c:dPt>
          <c:dPt>
            <c:idx val="3"/>
            <c:spPr>
              <a:gradFill>
                <a:gsLst>
                  <a:gs pos="0">
                    <a:srgbClr val="FF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extLst xmlns:c16r2="http://schemas.microsoft.com/office/drawing/2015/06/chart">
              <c:ext xmlns:c16="http://schemas.microsoft.com/office/drawing/2014/chart" uri="{C3380CC4-5D6E-409C-BE32-E72D297353CC}">
                <c16:uniqueId val="{00000005-805B-4C52-815A-F56CBC6830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IgGκ</c:v>
                </c:pt>
                <c:pt idx="1">
                  <c:v>IgGλ</c:v>
                </c:pt>
                <c:pt idx="2">
                  <c:v>IgАκ</c:v>
                </c:pt>
                <c:pt idx="3">
                  <c:v>редкие варианты</c:v>
                </c:pt>
              </c:strCache>
            </c:strRef>
          </c:cat>
          <c:val>
            <c:numRef>
              <c:f>Лист1!$B$2:$B$5</c:f>
              <c:numCache>
                <c:formatCode>General</c:formatCode>
                <c:ptCount val="4"/>
                <c:pt idx="0">
                  <c:v>1.4</c:v>
                </c:pt>
                <c:pt idx="1">
                  <c:v>1.5</c:v>
                </c:pt>
                <c:pt idx="2">
                  <c:v>1.5</c:v>
                </c:pt>
                <c:pt idx="3">
                  <c:v>1.6</c:v>
                </c:pt>
              </c:numCache>
            </c:numRef>
          </c:val>
          <c:extLst xmlns:c16r2="http://schemas.microsoft.com/office/drawing/2015/06/chart">
            <c:ext xmlns:c16="http://schemas.microsoft.com/office/drawing/2014/chart" uri="{C3380CC4-5D6E-409C-BE32-E72D297353CC}">
              <c16:uniqueId val="{00000006-805B-4C52-815A-F56CBC68306B}"/>
            </c:ext>
          </c:extLst>
        </c:ser>
        <c:ser>
          <c:idx val="1"/>
          <c:order val="1"/>
          <c:tx>
            <c:strRef>
              <c:f>Лист1!$A$3</c:f>
              <c:strCache>
                <c:ptCount val="1"/>
                <c:pt idx="0">
                  <c:v>IgGλ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IgGκ</c:v>
                </c:pt>
                <c:pt idx="1">
                  <c:v>IgGλ</c:v>
                </c:pt>
                <c:pt idx="2">
                  <c:v>IgАκ</c:v>
                </c:pt>
                <c:pt idx="3">
                  <c:v>редкие варианты</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7-805B-4C52-815A-F56CBC68306B}"/>
            </c:ext>
          </c:extLst>
        </c:ser>
        <c:ser>
          <c:idx val="2"/>
          <c:order val="2"/>
          <c:tx>
            <c:strRef>
              <c:f>Лист1!$A$4</c:f>
              <c:strCache>
                <c:ptCount val="1"/>
                <c:pt idx="0">
                  <c:v>IgАκ</c:v>
                </c:pt>
              </c:strCache>
            </c:strRef>
          </c:tx>
          <c:spPr>
            <a:solidFill>
              <a:schemeClr val="accent3"/>
            </a:solidFill>
            <a:ln>
              <a:noFill/>
            </a:ln>
            <a:effectLst/>
          </c:spPr>
          <c:cat>
            <c:strRef>
              <c:f>Лист1!$A$2:$A$5</c:f>
              <c:strCache>
                <c:ptCount val="4"/>
                <c:pt idx="0">
                  <c:v>IgGκ</c:v>
                </c:pt>
                <c:pt idx="1">
                  <c:v>IgGλ</c:v>
                </c:pt>
                <c:pt idx="2">
                  <c:v>IgАκ</c:v>
                </c:pt>
                <c:pt idx="3">
                  <c:v>редкие варианты</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8-805B-4C52-815A-F56CBC68306B}"/>
            </c:ext>
          </c:extLst>
        </c:ser>
        <c:ser>
          <c:idx val="3"/>
          <c:order val="3"/>
          <c:tx>
            <c:strRef>
              <c:f>Лист1!$A$5</c:f>
              <c:strCache>
                <c:ptCount val="1"/>
                <c:pt idx="0">
                  <c:v>редкие варианты</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IgGκ</c:v>
                </c:pt>
                <c:pt idx="1">
                  <c:v>IgGλ</c:v>
                </c:pt>
                <c:pt idx="2">
                  <c:v>IgАκ</c:v>
                </c:pt>
                <c:pt idx="3">
                  <c:v>редкие варианты</c:v>
                </c:pt>
              </c:strCache>
            </c:str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9-805B-4C52-815A-F56CBC68306B}"/>
            </c:ext>
          </c:extLst>
        </c:ser>
        <c:gapWidth val="0"/>
        <c:overlap val="80"/>
        <c:axId val="99570048"/>
        <c:axId val="99571584"/>
      </c:barChart>
      <c:catAx>
        <c:axId val="99570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71584"/>
        <c:crosses val="autoZero"/>
        <c:auto val="1"/>
        <c:lblAlgn val="ctr"/>
        <c:lblOffset val="100"/>
      </c:catAx>
      <c:valAx>
        <c:axId val="99571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70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общего белка в крови</a:t>
            </a:r>
            <a:endParaRPr lang="ru-RU"/>
          </a:p>
        </c:rich>
      </c:tx>
      <c:spPr>
        <a:noFill/>
        <a:ln>
          <a:noFill/>
        </a:ln>
        <a:effectLst/>
      </c:spPr>
    </c:title>
    <c:plotArea>
      <c:layout/>
      <c:barChart>
        <c:barDir val="col"/>
        <c:grouping val="stacked"/>
        <c:ser>
          <c:idx val="0"/>
          <c:order val="0"/>
          <c:tx>
            <c:strRef>
              <c:f>Лист1!$B$1</c:f>
              <c:strCache>
                <c:ptCount val="1"/>
                <c:pt idx="0">
                  <c:v>общий белок, г/л</c:v>
                </c:pt>
              </c:strCache>
            </c:strRef>
          </c:tx>
          <c:spPr>
            <a:solidFill>
              <a:schemeClr val="accent1"/>
            </a:solidFill>
            <a:ln>
              <a:noFill/>
            </a:ln>
            <a:effectLst/>
          </c:spPr>
          <c:dPt>
            <c:idx val="0"/>
            <c:spPr>
              <a:blipFill>
                <a:blip xmlns:r="http://schemas.openxmlformats.org/officeDocument/2006/relationships" r:embed="rId1"/>
                <a:tile tx="0" ty="0" sx="100000" sy="100000" flip="none" algn="tl"/>
              </a:blipFill>
              <a:ln>
                <a:noFill/>
              </a:ln>
              <a:effectLst/>
            </c:spPr>
            <c:extLst xmlns:c16r2="http://schemas.microsoft.com/office/drawing/2015/06/chart">
              <c:ext xmlns:c16="http://schemas.microsoft.com/office/drawing/2014/chart" uri="{C3380CC4-5D6E-409C-BE32-E72D297353CC}">
                <c16:uniqueId val="{00000001-E273-46AF-A523-DCE039486C03}"/>
              </c:ext>
            </c:extLst>
          </c:dPt>
          <c:dPt>
            <c:idx val="1"/>
            <c:spPr>
              <a:blipFill>
                <a:blip xmlns:r="http://schemas.openxmlformats.org/officeDocument/2006/relationships" r:embed="rId2"/>
                <a:tile tx="0" ty="0" sx="100000" sy="100000" flip="none" algn="tl"/>
              </a:blipFill>
              <a:ln>
                <a:noFill/>
              </a:ln>
              <a:effectLst/>
            </c:spPr>
            <c:extLst xmlns:c16r2="http://schemas.microsoft.com/office/drawing/2015/06/chart">
              <c:ext xmlns:c16="http://schemas.microsoft.com/office/drawing/2014/chart" uri="{C3380CC4-5D6E-409C-BE32-E72D297353CC}">
                <c16:uniqueId val="{00000003-E273-46AF-A523-DCE039486C03}"/>
              </c:ext>
            </c:extLst>
          </c:dPt>
          <c:dPt>
            <c:idx val="2"/>
            <c:spPr>
              <a:blipFill>
                <a:blip xmlns:r="http://schemas.openxmlformats.org/officeDocument/2006/relationships" r:embed="rId3"/>
                <a:tile tx="0" ty="0" sx="100000" sy="100000" flip="none" algn="tl"/>
              </a:blipFill>
              <a:ln>
                <a:noFill/>
              </a:ln>
              <a:effectLst/>
            </c:spPr>
            <c:extLst xmlns:c16r2="http://schemas.microsoft.com/office/drawing/2015/06/chart">
              <c:ext xmlns:c16="http://schemas.microsoft.com/office/drawing/2014/chart" uri="{C3380CC4-5D6E-409C-BE32-E72D297353CC}">
                <c16:uniqueId val="{00000005-E273-46AF-A523-DCE039486C03}"/>
              </c:ext>
            </c:extLst>
          </c:dPt>
          <c:dPt>
            <c:idx val="3"/>
            <c:spPr>
              <a:blipFill>
                <a:blip xmlns:r="http://schemas.openxmlformats.org/officeDocument/2006/relationships" r:embed="rId4"/>
                <a:tile tx="0" ty="0" sx="100000" sy="100000" flip="none" algn="tl"/>
              </a:blipFill>
              <a:ln>
                <a:noFill/>
              </a:ln>
              <a:effectLst/>
            </c:spPr>
            <c:extLst xmlns:c16r2="http://schemas.microsoft.com/office/drawing/2015/06/chart">
              <c:ext xmlns:c16="http://schemas.microsoft.com/office/drawing/2014/chart" uri="{C3380CC4-5D6E-409C-BE32-E72D297353CC}">
                <c16:uniqueId val="{00000007-E273-46AF-A523-DCE039486C03}"/>
              </c:ext>
            </c:extLst>
          </c:dPt>
          <c:dLbls>
            <c:dLbl>
              <c:idx val="0"/>
              <c:layout>
                <c:manualLayout>
                  <c:x val="-6.9444444444444961E-3"/>
                  <c:y val="-0.202380952380952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73-46AF-A523-DCE039486C03}"/>
                </c:ext>
              </c:extLst>
            </c:dLbl>
            <c:dLbl>
              <c:idx val="1"/>
              <c:layout>
                <c:manualLayout>
                  <c:x val="-4.2437781360067591E-17"/>
                  <c:y val="-0.34920634920634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73-46AF-A523-DCE039486C03}"/>
                </c:ext>
              </c:extLst>
            </c:dLbl>
            <c:dLbl>
              <c:idx val="2"/>
              <c:layout>
                <c:manualLayout>
                  <c:x val="-6.9444444444445716E-3"/>
                  <c:y val="-0.345238095238095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73-46AF-A523-DCE039486C03}"/>
                </c:ext>
              </c:extLst>
            </c:dLbl>
            <c:dLbl>
              <c:idx val="3"/>
              <c:layout>
                <c:manualLayout>
                  <c:x val="0"/>
                  <c:y val="-0.3373015873015895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73-46AF-A523-DCE039486C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II стадия</c:v>
                </c:pt>
                <c:pt idx="1">
                  <c:v>III стадия</c:v>
                </c:pt>
                <c:pt idx="2">
                  <c:v>А стадия</c:v>
                </c:pt>
                <c:pt idx="3">
                  <c:v>В стадия</c:v>
                </c:pt>
              </c:strCache>
            </c:strRef>
          </c:cat>
          <c:val>
            <c:numRef>
              <c:f>Лист1!$B$2:$B$5</c:f>
              <c:numCache>
                <c:formatCode>General</c:formatCode>
                <c:ptCount val="4"/>
                <c:pt idx="0">
                  <c:v>92.7</c:v>
                </c:pt>
                <c:pt idx="1">
                  <c:v>100.3</c:v>
                </c:pt>
                <c:pt idx="2">
                  <c:v>98.6</c:v>
                </c:pt>
                <c:pt idx="3">
                  <c:v>98.9</c:v>
                </c:pt>
              </c:numCache>
            </c:numRef>
          </c:val>
          <c:extLst xmlns:c16r2="http://schemas.microsoft.com/office/drawing/2015/06/chart">
            <c:ext xmlns:c16="http://schemas.microsoft.com/office/drawing/2014/chart" uri="{C3380CC4-5D6E-409C-BE32-E72D297353CC}">
              <c16:uniqueId val="{00000008-E273-46AF-A523-DCE039486C03}"/>
            </c:ext>
          </c:extLst>
        </c:ser>
        <c:ser>
          <c:idx val="1"/>
          <c:order val="1"/>
          <c:tx>
            <c:strRef>
              <c:f>Лист1!$C$1</c:f>
              <c:strCache>
                <c:ptCount val="1"/>
                <c:pt idx="0">
                  <c:v>Столбец1</c:v>
                </c:pt>
              </c:strCache>
            </c:strRef>
          </c:tx>
          <c:spPr>
            <a:solidFill>
              <a:schemeClr val="accent2"/>
            </a:solidFill>
            <a:ln>
              <a:noFill/>
            </a:ln>
            <a:effectLst/>
          </c:spPr>
          <c:cat>
            <c:strRef>
              <c:f>Лист1!$A$2:$A$5</c:f>
              <c:strCache>
                <c:ptCount val="4"/>
                <c:pt idx="0">
                  <c:v>II стадия</c:v>
                </c:pt>
                <c:pt idx="1">
                  <c:v>III стадия</c:v>
                </c:pt>
                <c:pt idx="2">
                  <c:v>А стадия</c:v>
                </c:pt>
                <c:pt idx="3">
                  <c:v>В стадия</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9-E273-46AF-A523-DCE039486C03}"/>
            </c:ext>
          </c:extLst>
        </c:ser>
        <c:ser>
          <c:idx val="2"/>
          <c:order val="2"/>
          <c:tx>
            <c:strRef>
              <c:f>Лист1!$D$1</c:f>
              <c:strCache>
                <c:ptCount val="1"/>
                <c:pt idx="0">
                  <c:v>Столбец2</c:v>
                </c:pt>
              </c:strCache>
            </c:strRef>
          </c:tx>
          <c:spPr>
            <a:solidFill>
              <a:schemeClr val="accent3"/>
            </a:solidFill>
            <a:ln>
              <a:noFill/>
            </a:ln>
            <a:effectLst/>
          </c:spPr>
          <c:cat>
            <c:strRef>
              <c:f>Лист1!$A$2:$A$5</c:f>
              <c:strCache>
                <c:ptCount val="4"/>
                <c:pt idx="0">
                  <c:v>II стадия</c:v>
                </c:pt>
                <c:pt idx="1">
                  <c:v>III стадия</c:v>
                </c:pt>
                <c:pt idx="2">
                  <c:v>А стадия</c:v>
                </c:pt>
                <c:pt idx="3">
                  <c:v>В стадия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A-E273-46AF-A523-DCE039486C03}"/>
            </c:ext>
          </c:extLst>
        </c:ser>
        <c:overlap val="100"/>
        <c:axId val="99660928"/>
        <c:axId val="99662464"/>
      </c:barChart>
      <c:catAx>
        <c:axId val="99660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662464"/>
        <c:crosses val="autoZero"/>
        <c:auto val="1"/>
        <c:lblAlgn val="ctr"/>
        <c:lblOffset val="100"/>
      </c:catAx>
      <c:valAx>
        <c:axId val="99662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660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5"/>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γ – МГ</c:v>
                </c:pt>
              </c:strCache>
            </c:strRef>
          </c:tx>
          <c:spPr>
            <a:solidFill>
              <a:schemeClr val="accent1"/>
            </a:solidFill>
            <a:ln>
              <a:noFill/>
            </a:ln>
            <a:effectLst/>
          </c:spPr>
          <c:dPt>
            <c:idx val="0"/>
            <c:spPr>
              <a:solidFill>
                <a:srgbClr val="4472C4"/>
              </a:solidFill>
              <a:ln>
                <a:noFill/>
              </a:ln>
              <a:effectLst/>
            </c:spPr>
            <c:extLst xmlns:c16r2="http://schemas.microsoft.com/office/drawing/2015/06/chart">
              <c:ext xmlns:c16="http://schemas.microsoft.com/office/drawing/2014/chart" uri="{C3380CC4-5D6E-409C-BE32-E72D297353CC}">
                <c16:uniqueId val="{00000001-E642-4F1C-B371-9C21B9C68409}"/>
              </c:ext>
            </c:extLst>
          </c:dPt>
          <c:dPt>
            <c:idx val="1"/>
            <c:spPr>
              <a:solidFill>
                <a:srgbClr val="4472C4"/>
              </a:solidFill>
              <a:ln>
                <a:noFill/>
              </a:ln>
              <a:effectLst/>
            </c:spPr>
            <c:extLst xmlns:c16r2="http://schemas.microsoft.com/office/drawing/2015/06/chart">
              <c:ext xmlns:c16="http://schemas.microsoft.com/office/drawing/2014/chart" uri="{C3380CC4-5D6E-409C-BE32-E72D297353CC}">
                <c16:uniqueId val="{00000003-E642-4F1C-B371-9C21B9C68409}"/>
              </c:ext>
            </c:extLst>
          </c:dPt>
          <c:dPt>
            <c:idx val="2"/>
            <c:spPr>
              <a:solidFill>
                <a:srgbClr val="4472C4"/>
              </a:solidFill>
              <a:ln>
                <a:noFill/>
              </a:ln>
              <a:effectLst/>
            </c:spPr>
            <c:extLst xmlns:c16r2="http://schemas.microsoft.com/office/drawing/2015/06/chart">
              <c:ext xmlns:c16="http://schemas.microsoft.com/office/drawing/2014/chart" uri="{C3380CC4-5D6E-409C-BE32-E72D297353CC}">
                <c16:uniqueId val="{00000005-E642-4F1C-B371-9C21B9C68409}"/>
              </c:ext>
            </c:extLst>
          </c:dPt>
          <c:dPt>
            <c:idx val="3"/>
            <c:spPr>
              <a:solidFill>
                <a:srgbClr val="4472C4"/>
              </a:solidFill>
              <a:ln>
                <a:noFill/>
              </a:ln>
              <a:effectLst/>
            </c:spPr>
            <c:extLst xmlns:c16r2="http://schemas.microsoft.com/office/drawing/2015/06/chart">
              <c:ext xmlns:c16="http://schemas.microsoft.com/office/drawing/2014/chart" uri="{C3380CC4-5D6E-409C-BE32-E72D297353CC}">
                <c16:uniqueId val="{00000007-E642-4F1C-B371-9C21B9C68409}"/>
              </c:ext>
            </c:extLst>
          </c:dPt>
          <c:dLbls>
            <c:dLbl>
              <c:idx val="0"/>
              <c:layout>
                <c:manualLayout>
                  <c:x val="4.6296296296296571E-3"/>
                  <c:y val="-3.1746031746031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42-4F1C-B371-9C21B9C68409}"/>
                </c:ext>
              </c:extLst>
            </c:dLbl>
            <c:dLbl>
              <c:idx val="1"/>
              <c:layout>
                <c:manualLayout>
                  <c:x val="2.3148148148147722E-3"/>
                  <c:y val="-3.57142857142857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42-4F1C-B371-9C21B9C68409}"/>
                </c:ext>
              </c:extLst>
            </c:dLbl>
            <c:dLbl>
              <c:idx val="2"/>
              <c:layout>
                <c:manualLayout>
                  <c:x val="0"/>
                  <c:y val="-6.74603174603175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42-4F1C-B371-9C21B9C68409}"/>
                </c:ext>
              </c:extLst>
            </c:dLbl>
            <c:dLbl>
              <c:idx val="3"/>
              <c:layout>
                <c:manualLayout>
                  <c:x val="-2.3148148148148147E-3"/>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42-4F1C-B371-9C21B9C68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II стадия</c:v>
                </c:pt>
                <c:pt idx="1">
                  <c:v>III стадия</c:v>
                </c:pt>
                <c:pt idx="2">
                  <c:v>А стадия</c:v>
                </c:pt>
                <c:pt idx="3">
                  <c:v>В стадия</c:v>
                </c:pt>
              </c:strCache>
            </c:strRef>
          </c:cat>
          <c:val>
            <c:numRef>
              <c:f>Лист1!$B$2:$B$5</c:f>
              <c:numCache>
                <c:formatCode>General</c:formatCode>
                <c:ptCount val="4"/>
                <c:pt idx="0">
                  <c:v>17.7</c:v>
                </c:pt>
                <c:pt idx="1">
                  <c:v>20.5</c:v>
                </c:pt>
                <c:pt idx="2">
                  <c:v>19.399999999999999</c:v>
                </c:pt>
                <c:pt idx="3">
                  <c:v>20.8</c:v>
                </c:pt>
              </c:numCache>
            </c:numRef>
          </c:val>
          <c:extLst xmlns:c16r2="http://schemas.microsoft.com/office/drawing/2015/06/chart">
            <c:ext xmlns:c16="http://schemas.microsoft.com/office/drawing/2014/chart" uri="{C3380CC4-5D6E-409C-BE32-E72D297353CC}">
              <c16:uniqueId val="{00000008-E642-4F1C-B371-9C21B9C68409}"/>
            </c:ext>
          </c:extLst>
        </c:ser>
        <c:ser>
          <c:idx val="1"/>
          <c:order val="1"/>
          <c:tx>
            <c:strRef>
              <c:f>Лист1!$C$1</c:f>
              <c:strCache>
                <c:ptCount val="1"/>
                <c:pt idx="0">
                  <c:v>  β2 -МГ</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II стадия</c:v>
                </c:pt>
                <c:pt idx="1">
                  <c:v>III стадия</c:v>
                </c:pt>
                <c:pt idx="2">
                  <c:v>А стадия</c:v>
                </c:pt>
                <c:pt idx="3">
                  <c:v>В стадия</c:v>
                </c:pt>
              </c:strCache>
            </c:strRef>
          </c:cat>
          <c:val>
            <c:numRef>
              <c:f>Лист1!$C$2:$C$5</c:f>
              <c:numCache>
                <c:formatCode>General</c:formatCode>
                <c:ptCount val="4"/>
                <c:pt idx="0">
                  <c:v>16.399999999999999</c:v>
                </c:pt>
                <c:pt idx="1">
                  <c:v>14.9</c:v>
                </c:pt>
                <c:pt idx="2">
                  <c:v>16.8</c:v>
                </c:pt>
                <c:pt idx="3">
                  <c:v>13.6</c:v>
                </c:pt>
              </c:numCache>
            </c:numRef>
          </c:val>
          <c:extLst xmlns:c16r2="http://schemas.microsoft.com/office/drawing/2015/06/chart">
            <c:ext xmlns:c16="http://schemas.microsoft.com/office/drawing/2014/chart" uri="{C3380CC4-5D6E-409C-BE32-E72D297353CC}">
              <c16:uniqueId val="{00000009-E642-4F1C-B371-9C21B9C68409}"/>
            </c:ext>
          </c:extLst>
        </c:ser>
        <c:ser>
          <c:idx val="2"/>
          <c:order val="2"/>
          <c:tx>
            <c:strRef>
              <c:f>Лист1!$D$1</c:f>
              <c:strCache>
                <c:ptCount val="1"/>
                <c:pt idx="0">
                  <c:v>Столбец1</c:v>
                </c:pt>
              </c:strCache>
            </c:strRef>
          </c:tx>
          <c:spPr>
            <a:solidFill>
              <a:schemeClr val="accent3"/>
            </a:solidFill>
            <a:ln>
              <a:noFill/>
            </a:ln>
            <a:effectLst/>
          </c:spPr>
          <c:cat>
            <c:strRef>
              <c:f>Лист1!$A$2:$A$5</c:f>
              <c:strCache>
                <c:ptCount val="4"/>
                <c:pt idx="0">
                  <c:v>II стадия</c:v>
                </c:pt>
                <c:pt idx="1">
                  <c:v>III стадия</c:v>
                </c:pt>
                <c:pt idx="2">
                  <c:v>А стадия</c:v>
                </c:pt>
                <c:pt idx="3">
                  <c:v>В стадия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A-E642-4F1C-B371-9C21B9C68409}"/>
            </c:ext>
          </c:extLst>
        </c:ser>
        <c:axId val="99720192"/>
        <c:axId val="99779328"/>
      </c:barChart>
      <c:catAx>
        <c:axId val="99720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779328"/>
        <c:crosses val="autoZero"/>
        <c:auto val="1"/>
        <c:lblAlgn val="ctr"/>
        <c:lblOffset val="100"/>
      </c:catAx>
      <c:valAx>
        <c:axId val="997793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720192"/>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креатинин</c:v>
                </c:pt>
              </c:strCache>
            </c:strRef>
          </c:tx>
          <c:spPr>
            <a:pattFill prst="wdUpDiag">
              <a:fgClr>
                <a:schemeClr val="tx1"/>
              </a:fgClr>
              <a:bgClr>
                <a:schemeClr val="bg1"/>
              </a:bgClr>
            </a:pattFill>
            <a:ln>
              <a:noFill/>
            </a:ln>
            <a:effectLst/>
          </c:spPr>
          <c:dPt>
            <c:idx val="2"/>
            <c:spPr>
              <a:pattFill prst="lgConfetti">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1-89D3-42EA-A8A8-81E24622C98A}"/>
              </c:ext>
            </c:extLst>
          </c:dPt>
          <c:dPt>
            <c:idx val="3"/>
            <c:spPr>
              <a:pattFill prst="lgConfetti">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3-89D3-42EA-A8A8-81E24622C98A}"/>
              </c:ext>
            </c:extLst>
          </c:dPt>
          <c:dLbls>
            <c:dLbl>
              <c:idx val="0"/>
              <c:layout>
                <c:manualLayout>
                  <c:x val="-2.1218890680033848E-17"/>
                  <c:y val="-0.2896825396825398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D3-42EA-A8A8-81E24622C98A}"/>
                </c:ext>
              </c:extLst>
            </c:dLbl>
            <c:dLbl>
              <c:idx val="1"/>
              <c:layout>
                <c:manualLayout>
                  <c:x val="-4.2437781360067591E-17"/>
                  <c:y val="-0.32936507936508219"/>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D3-42EA-A8A8-81E24622C98A}"/>
                </c:ext>
              </c:extLst>
            </c:dLbl>
            <c:dLbl>
              <c:idx val="2"/>
              <c:layout>
                <c:manualLayout>
                  <c:x val="-1.157407407407416E-2"/>
                  <c:y val="-0.28174603174603174"/>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D3-42EA-A8A8-81E24622C98A}"/>
                </c:ext>
              </c:extLst>
            </c:dLbl>
            <c:dLbl>
              <c:idx val="3"/>
              <c:layout>
                <c:manualLayout>
                  <c:x val="-1.6975112544026967E-16"/>
                  <c:y val="-0.36507936507936778"/>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D3-42EA-A8A8-81E24622C9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II стадия</c:v>
                </c:pt>
                <c:pt idx="1">
                  <c:v>III стадия</c:v>
                </c:pt>
                <c:pt idx="2">
                  <c:v>А стадия</c:v>
                </c:pt>
                <c:pt idx="3">
                  <c:v>В стадия</c:v>
                </c:pt>
              </c:strCache>
            </c:strRef>
          </c:cat>
          <c:val>
            <c:numRef>
              <c:f>Лист1!$B$2:$B$5</c:f>
              <c:numCache>
                <c:formatCode>General</c:formatCode>
                <c:ptCount val="4"/>
                <c:pt idx="0">
                  <c:v>108.9</c:v>
                </c:pt>
                <c:pt idx="1">
                  <c:v>124.1</c:v>
                </c:pt>
                <c:pt idx="2">
                  <c:v>87.8</c:v>
                </c:pt>
                <c:pt idx="3">
                  <c:v>155.30000000000001</c:v>
                </c:pt>
              </c:numCache>
            </c:numRef>
          </c:val>
          <c:extLst xmlns:c16r2="http://schemas.microsoft.com/office/drawing/2015/06/chart">
            <c:ext xmlns:c16="http://schemas.microsoft.com/office/drawing/2014/chart" uri="{C3380CC4-5D6E-409C-BE32-E72D297353CC}">
              <c16:uniqueId val="{00000006-89D3-42EA-A8A8-81E24622C98A}"/>
            </c:ext>
          </c:extLst>
        </c:ser>
        <c:overlap val="100"/>
        <c:axId val="99822592"/>
        <c:axId val="99832576"/>
      </c:barChart>
      <c:catAx>
        <c:axId val="99822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832576"/>
        <c:crosses val="autoZero"/>
        <c:auto val="1"/>
        <c:lblAlgn val="ctr"/>
        <c:lblOffset val="100"/>
      </c:catAx>
      <c:valAx>
        <c:axId val="998325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8225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мочевины</a:t>
            </a:r>
            <a:r>
              <a:rPr lang="ru-RU" baseline="0"/>
              <a:t> в крови</a:t>
            </a:r>
            <a:endParaRPr lang="ru-RU"/>
          </a:p>
        </c:rich>
      </c:tx>
      <c:spPr>
        <a:noFill/>
        <a:ln>
          <a:noFill/>
        </a:ln>
        <a:effectLst/>
      </c:spPr>
    </c:title>
    <c:plotArea>
      <c:layout/>
      <c:barChart>
        <c:barDir val="col"/>
        <c:grouping val="clustered"/>
        <c:ser>
          <c:idx val="0"/>
          <c:order val="0"/>
          <c:tx>
            <c:strRef>
              <c:f>Лист1!$B$1</c:f>
              <c:strCache>
                <c:ptCount val="1"/>
                <c:pt idx="0">
                  <c:v>мочевина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highlight>
                      <a:srgbClr val="FF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II стадия</c:v>
                </c:pt>
                <c:pt idx="1">
                  <c:v>III стадия</c:v>
                </c:pt>
                <c:pt idx="2">
                  <c:v>А стадия</c:v>
                </c:pt>
                <c:pt idx="3">
                  <c:v>В стадия</c:v>
                </c:pt>
              </c:strCache>
            </c:strRef>
          </c:cat>
          <c:val>
            <c:numRef>
              <c:f>Лист1!$B$2:$B$5</c:f>
              <c:numCache>
                <c:formatCode>General</c:formatCode>
                <c:ptCount val="4"/>
                <c:pt idx="0">
                  <c:v>9.2000000000000011</c:v>
                </c:pt>
                <c:pt idx="1">
                  <c:v>10.7</c:v>
                </c:pt>
                <c:pt idx="2">
                  <c:v>7.6</c:v>
                </c:pt>
                <c:pt idx="3">
                  <c:v>13.3</c:v>
                </c:pt>
              </c:numCache>
            </c:numRef>
          </c:val>
          <c:extLst xmlns:c16r2="http://schemas.microsoft.com/office/drawing/2015/06/chart">
            <c:ext xmlns:c16="http://schemas.microsoft.com/office/drawing/2014/chart" uri="{C3380CC4-5D6E-409C-BE32-E72D297353CC}">
              <c16:uniqueId val="{00000000-B0DA-46C6-91E2-8996E7C76A99}"/>
            </c:ext>
          </c:extLst>
        </c:ser>
        <c:ser>
          <c:idx val="1"/>
          <c:order val="1"/>
          <c:tx>
            <c:strRef>
              <c:f>Лист1!$C$1</c:f>
              <c:strCache>
                <c:ptCount val="1"/>
                <c:pt idx="0">
                  <c:v>Столбец1</c:v>
                </c:pt>
              </c:strCache>
            </c:strRef>
          </c:tx>
          <c:spPr>
            <a:solidFill>
              <a:schemeClr val="accent2"/>
            </a:solidFill>
            <a:ln>
              <a:noFill/>
            </a:ln>
            <a:effectLst/>
          </c:spPr>
          <c:cat>
            <c:strRef>
              <c:f>Лист1!$A$2:$A$5</c:f>
              <c:strCache>
                <c:ptCount val="4"/>
                <c:pt idx="0">
                  <c:v>II стадия</c:v>
                </c:pt>
                <c:pt idx="1">
                  <c:v>III стадия</c:v>
                </c:pt>
                <c:pt idx="2">
                  <c:v>А стадия</c:v>
                </c:pt>
                <c:pt idx="3">
                  <c:v>В стадия</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B0DA-46C6-91E2-8996E7C76A99}"/>
            </c:ext>
          </c:extLst>
        </c:ser>
        <c:ser>
          <c:idx val="2"/>
          <c:order val="2"/>
          <c:tx>
            <c:strRef>
              <c:f>Лист1!$D$1</c:f>
              <c:strCache>
                <c:ptCount val="1"/>
                <c:pt idx="0">
                  <c:v>Столбец2</c:v>
                </c:pt>
              </c:strCache>
            </c:strRef>
          </c:tx>
          <c:spPr>
            <a:solidFill>
              <a:schemeClr val="accent3"/>
            </a:solidFill>
            <a:ln>
              <a:noFill/>
            </a:ln>
            <a:effectLst/>
          </c:spPr>
          <c:cat>
            <c:strRef>
              <c:f>Лист1!$A$2:$A$5</c:f>
              <c:strCache>
                <c:ptCount val="4"/>
                <c:pt idx="0">
                  <c:v>II стадия</c:v>
                </c:pt>
                <c:pt idx="1">
                  <c:v>III стадия</c:v>
                </c:pt>
                <c:pt idx="2">
                  <c:v>А стадия</c:v>
                </c:pt>
                <c:pt idx="3">
                  <c:v>В стадия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B0DA-46C6-91E2-8996E7C76A99}"/>
            </c:ext>
          </c:extLst>
        </c:ser>
        <c:gapWidth val="219"/>
        <c:overlap val="-27"/>
        <c:axId val="99850112"/>
        <c:axId val="99851648"/>
      </c:barChart>
      <c:catAx>
        <c:axId val="99850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851648"/>
        <c:crosses val="autoZero"/>
        <c:auto val="1"/>
        <c:lblAlgn val="ctr"/>
        <c:lblOffset val="100"/>
      </c:catAx>
      <c:valAx>
        <c:axId val="99851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850112"/>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остаточный азот</c:v>
                </c:pt>
              </c:strCache>
            </c:strRef>
          </c:tx>
          <c:spPr>
            <a:solidFill>
              <a:srgbClr val="ED7D31">
                <a:lumMod val="40000"/>
                <a:lumOff val="60000"/>
              </a:srgbClr>
            </a:solidFill>
            <a:ln>
              <a:noFill/>
            </a:ln>
            <a:effectLst/>
          </c:spPr>
          <c:dPt>
            <c:idx val="0"/>
            <c:spPr>
              <a:solidFill>
                <a:srgbClr val="5B9BD5"/>
              </a:solidFill>
              <a:ln>
                <a:noFill/>
              </a:ln>
              <a:effectLst/>
            </c:spPr>
            <c:extLst xmlns:c16r2="http://schemas.microsoft.com/office/drawing/2015/06/chart">
              <c:ext xmlns:c16="http://schemas.microsoft.com/office/drawing/2014/chart" uri="{C3380CC4-5D6E-409C-BE32-E72D297353CC}">
                <c16:uniqueId val="{00000001-41F6-42B2-8B7C-27CBC0277F07}"/>
              </c:ext>
            </c:extLst>
          </c:dPt>
          <c:dPt>
            <c:idx val="1"/>
            <c:spPr>
              <a:solidFill>
                <a:srgbClr val="70AD47"/>
              </a:solidFill>
              <a:ln>
                <a:noFill/>
              </a:ln>
              <a:effectLst/>
            </c:spPr>
            <c:extLst xmlns:c16r2="http://schemas.microsoft.com/office/drawing/2015/06/chart">
              <c:ext xmlns:c16="http://schemas.microsoft.com/office/drawing/2014/chart" uri="{C3380CC4-5D6E-409C-BE32-E72D297353CC}">
                <c16:uniqueId val="{00000003-41F6-42B2-8B7C-27CBC0277F07}"/>
              </c:ext>
            </c:extLst>
          </c:dPt>
          <c:dPt>
            <c:idx val="2"/>
            <c:spPr>
              <a:solidFill>
                <a:srgbClr val="ED7D31">
                  <a:alpha val="89000"/>
                </a:srgbClr>
              </a:solidFill>
              <a:ln>
                <a:noFill/>
              </a:ln>
              <a:effectLst/>
            </c:spPr>
            <c:extLst xmlns:c16r2="http://schemas.microsoft.com/office/drawing/2015/06/chart">
              <c:ext xmlns:c16="http://schemas.microsoft.com/office/drawing/2014/chart" uri="{C3380CC4-5D6E-409C-BE32-E72D297353CC}">
                <c16:uniqueId val="{00000005-41F6-42B2-8B7C-27CBC0277F07}"/>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highlight>
                      <a:srgbClr val="FF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II стадия</c:v>
                </c:pt>
                <c:pt idx="1">
                  <c:v>III стадия</c:v>
                </c:pt>
                <c:pt idx="2">
                  <c:v>А стадия</c:v>
                </c:pt>
                <c:pt idx="3">
                  <c:v>В стадия</c:v>
                </c:pt>
              </c:strCache>
            </c:strRef>
          </c:cat>
          <c:val>
            <c:numRef>
              <c:f>Лист1!$B$2:$B$5</c:f>
              <c:numCache>
                <c:formatCode>General</c:formatCode>
                <c:ptCount val="4"/>
                <c:pt idx="0">
                  <c:v>3.9</c:v>
                </c:pt>
                <c:pt idx="1">
                  <c:v>5.09</c:v>
                </c:pt>
                <c:pt idx="2">
                  <c:v>3.5</c:v>
                </c:pt>
                <c:pt idx="3">
                  <c:v>6.3</c:v>
                </c:pt>
              </c:numCache>
            </c:numRef>
          </c:val>
          <c:extLst xmlns:c16r2="http://schemas.microsoft.com/office/drawing/2015/06/chart">
            <c:ext xmlns:c16="http://schemas.microsoft.com/office/drawing/2014/chart" uri="{C3380CC4-5D6E-409C-BE32-E72D297353CC}">
              <c16:uniqueId val="{00000006-41F6-42B2-8B7C-27CBC0277F07}"/>
            </c:ext>
          </c:extLst>
        </c:ser>
        <c:ser>
          <c:idx val="1"/>
          <c:order val="1"/>
          <c:tx>
            <c:strRef>
              <c:f>Лист1!$C$1</c:f>
              <c:strCache>
                <c:ptCount val="1"/>
                <c:pt idx="0">
                  <c:v>Столбец1</c:v>
                </c:pt>
              </c:strCache>
            </c:strRef>
          </c:tx>
          <c:spPr>
            <a:solidFill>
              <a:schemeClr val="accent2"/>
            </a:solidFill>
            <a:ln>
              <a:noFill/>
            </a:ln>
            <a:effectLst/>
          </c:spPr>
          <c:cat>
            <c:strRef>
              <c:f>Лист1!$A$2:$A$5</c:f>
              <c:strCache>
                <c:ptCount val="4"/>
                <c:pt idx="0">
                  <c:v>II стадия</c:v>
                </c:pt>
                <c:pt idx="1">
                  <c:v>III стадия</c:v>
                </c:pt>
                <c:pt idx="2">
                  <c:v>А стадия</c:v>
                </c:pt>
                <c:pt idx="3">
                  <c:v>В стадия</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7-41F6-42B2-8B7C-27CBC0277F07}"/>
            </c:ext>
          </c:extLst>
        </c:ser>
        <c:ser>
          <c:idx val="2"/>
          <c:order val="2"/>
          <c:tx>
            <c:strRef>
              <c:f>Лист1!$D$1</c:f>
              <c:strCache>
                <c:ptCount val="1"/>
                <c:pt idx="0">
                  <c:v>Столбец2</c:v>
                </c:pt>
              </c:strCache>
            </c:strRef>
          </c:tx>
          <c:spPr>
            <a:solidFill>
              <a:schemeClr val="accent3"/>
            </a:solidFill>
            <a:ln>
              <a:noFill/>
            </a:ln>
            <a:effectLst/>
          </c:spPr>
          <c:cat>
            <c:strRef>
              <c:f>Лист1!$A$2:$A$5</c:f>
              <c:strCache>
                <c:ptCount val="4"/>
                <c:pt idx="0">
                  <c:v>II стадия</c:v>
                </c:pt>
                <c:pt idx="1">
                  <c:v>III стадия</c:v>
                </c:pt>
                <c:pt idx="2">
                  <c:v>А стадия</c:v>
                </c:pt>
                <c:pt idx="3">
                  <c:v>В стадия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8-41F6-42B2-8B7C-27CBC0277F07}"/>
            </c:ext>
          </c:extLst>
        </c:ser>
        <c:gapWidth val="127"/>
        <c:axId val="99954688"/>
        <c:axId val="99956224"/>
      </c:barChart>
      <c:catAx>
        <c:axId val="999546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956224"/>
        <c:crosses val="autoZero"/>
        <c:auto val="1"/>
        <c:lblAlgn val="ctr"/>
        <c:lblOffset val="100"/>
      </c:catAx>
      <c:valAx>
        <c:axId val="999562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954688"/>
        <c:crosses val="autoZero"/>
        <c:crossBetween val="between"/>
      </c:valAx>
      <c:spPr>
        <a:noFill/>
        <a:ln>
          <a:noFill/>
        </a:ln>
        <a:effectLst/>
      </c:spPr>
    </c:plotArea>
    <c:legend>
      <c:legendPos val="b"/>
      <c:legendEntry>
        <c:idx val="1"/>
        <c:delete val="1"/>
      </c:legendEntry>
      <c:legendEntry>
        <c:idx val="0"/>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a:t>
            </a:r>
            <a:r>
              <a:rPr lang="uz-Cyrl-UZ"/>
              <a:t>личество</a:t>
            </a:r>
            <a:r>
              <a:rPr lang="ru-RU"/>
              <a:t> больных</a:t>
            </a:r>
            <a:r>
              <a:rPr lang="en-US"/>
              <a:t> 24</a:t>
            </a:r>
            <a:endParaRPr lang="ru-RU"/>
          </a:p>
        </c:rich>
      </c:tx>
      <c:spPr>
        <a:noFill/>
        <a:ln>
          <a:noFill/>
        </a:ln>
        <a:effectLst/>
      </c:spPr>
    </c:title>
    <c:view3D>
      <c:rotX val="75"/>
      <c:perspective val="30"/>
    </c:view3D>
    <c:sideWall>
      <c:spPr>
        <a:noFill/>
        <a:ln>
          <a:noFill/>
        </a:ln>
        <a:effectLst/>
      </c:spPr>
    </c:sideWall>
    <c:backWall>
      <c:spPr>
        <a:noFill/>
        <a:ln>
          <a:noFill/>
        </a:ln>
        <a:effectLst/>
      </c:spPr>
    </c:backWall>
    <c:plotArea>
      <c:layout/>
      <c:pie3DChart>
        <c:varyColors val="1"/>
        <c:ser>
          <c:idx val="0"/>
          <c:order val="0"/>
          <c:tx>
            <c:strRef>
              <c:f>Лист1!$B$1</c:f>
              <c:strCache>
                <c:ptCount val="1"/>
                <c:pt idx="0">
                  <c:v>кол-во больных</c:v>
                </c:pt>
              </c:strCache>
            </c:strRef>
          </c:tx>
          <c:explosion val="25"/>
          <c:dLbls>
            <c:dLbl>
              <c:idx val="0"/>
              <c:layout>
                <c:manualLayout>
                  <c:x val="-7.2968066491688535E-2"/>
                  <c:y val="5.6196100487439074E-2"/>
                </c:manualLayout>
              </c:layout>
              <c:showVal val="1"/>
            </c:dLbl>
            <c:dLbl>
              <c:idx val="1"/>
              <c:layout>
                <c:manualLayout>
                  <c:x val="9.6632308982210799E-2"/>
                  <c:y val="-0.14739345081864771"/>
                </c:manualLayout>
              </c:layout>
              <c:tx>
                <c:rich>
                  <a:bodyPr/>
                  <a:lstStyle/>
                  <a:p>
                    <a:r>
                      <a:rPr lang="en-US"/>
                      <a:t>16</a:t>
                    </a:r>
                  </a:p>
                </c:rich>
              </c:tx>
              <c:showVal val="1"/>
              <c:showPercent val="1"/>
            </c:dLbl>
            <c:dLbl>
              <c:idx val="2"/>
              <c:delete val="1"/>
            </c:dLbl>
            <c:showVal val="1"/>
            <c:showPercent val="1"/>
            <c:showLeaderLines val="1"/>
            <c:leaderLines>
              <c:spPr>
                <a:ln w="9525">
                  <a:solidFill>
                    <a:schemeClr val="dk1">
                      <a:lumMod val="50000"/>
                      <a:lumOff val="50000"/>
                    </a:schemeClr>
                  </a:solidFill>
                </a:ln>
                <a:effectLst/>
              </c:spPr>
            </c:leaderLines>
          </c:dLbls>
          <c:cat>
            <c:strRef>
              <c:f>Лист1!$A$2:$A$4</c:f>
              <c:strCache>
                <c:ptCount val="2"/>
                <c:pt idx="0">
                  <c:v>А стадия</c:v>
                </c:pt>
                <c:pt idx="1">
                  <c:v>В стадия</c:v>
                </c:pt>
              </c:strCache>
            </c:strRef>
          </c:cat>
          <c:val>
            <c:numRef>
              <c:f>Лист1!$B$2:$B$4</c:f>
              <c:numCache>
                <c:formatCode>General</c:formatCode>
                <c:ptCount val="3"/>
                <c:pt idx="0">
                  <c:v>8</c:v>
                </c:pt>
                <c:pt idx="1">
                  <c:v>16</c:v>
                </c:pt>
              </c:numCache>
            </c:numRef>
          </c:val>
          <c:extLst xmlns:c16r2="http://schemas.microsoft.com/office/drawing/2015/06/chart">
            <c:ext xmlns:c16="http://schemas.microsoft.com/office/drawing/2014/chart" uri="{C3380CC4-5D6E-409C-BE32-E72D297353CC}">
              <c16:uniqueId val="{00000008-821D-4867-8326-4020D5CFD57B}"/>
            </c:ext>
          </c:extLst>
        </c:ser>
        <c:ser>
          <c:idx val="1"/>
          <c:order val="1"/>
          <c:tx>
            <c:strRef>
              <c:f>Лист1!$C$1</c:f>
              <c:strCache>
                <c:ptCount val="1"/>
                <c:pt idx="0">
                  <c:v>Столбец1</c:v>
                </c:pt>
              </c:strCache>
            </c:strRef>
          </c:tx>
          <c:explosion val="25"/>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821D-4867-8326-4020D5CFD57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821D-4867-8326-4020D5CFD57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821D-4867-8326-4020D5CFD57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2"/>
                <c:pt idx="0">
                  <c:v>А стадия</c:v>
                </c:pt>
                <c:pt idx="1">
                  <c:v>В стадия</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11-821D-4867-8326-4020D5CFD57B}"/>
            </c:ext>
          </c:extLst>
        </c:ser>
        <c:ser>
          <c:idx val="2"/>
          <c:order val="2"/>
          <c:tx>
            <c:strRef>
              <c:f>Лист1!$D$1</c:f>
              <c:strCache>
                <c:ptCount val="1"/>
                <c:pt idx="0">
                  <c:v>Столбец2</c:v>
                </c:pt>
              </c:strCache>
            </c:strRef>
          </c:tx>
          <c:explosion val="25"/>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821D-4867-8326-4020D5CFD57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821D-4867-8326-4020D5CFD57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821D-4867-8326-4020D5CFD57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2"/>
                <c:pt idx="0">
                  <c:v>А стадия</c:v>
                </c:pt>
                <c:pt idx="1">
                  <c:v>В стадия</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1A-821D-4867-8326-4020D5CFD57B}"/>
            </c:ext>
          </c:extLst>
        </c:ser>
        <c:dLbls>
          <c:showPercent val="1"/>
        </c:dLbls>
      </c:pie3DChart>
    </c:plotArea>
    <c:legend>
      <c:legendPos val="r"/>
      <c:legendEntry>
        <c:idx val="2"/>
        <c:delete val="1"/>
      </c:legendEntry>
      <c:legendEntry>
        <c:idx val="3"/>
        <c:delete val="1"/>
      </c:legendEntry>
      <c:layout>
        <c:manualLayout>
          <c:xMode val="edge"/>
          <c:yMode val="edge"/>
          <c:x val="0.80581820501603951"/>
          <c:y val="0.49449350081239846"/>
          <c:w val="0.11316327646544207"/>
          <c:h val="0.13392950881139887"/>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А подгруппа</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991-4D6C-982C-453089EE0A69}"/>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991-4D6C-982C-453089EE0A69}"/>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991-4D6C-982C-453089EE0A69}"/>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991-4D6C-982C-453089EE0A69}"/>
              </c:ext>
            </c:extLst>
          </c:dPt>
          <c:dLbls>
            <c:dLbl>
              <c:idx val="0"/>
              <c:layout>
                <c:manualLayout>
                  <c:x val="-8.6361140668227282E-2"/>
                  <c:y val="-0.14569767886659271"/>
                </c:manualLayout>
              </c:layout>
              <c:showVal val="1"/>
              <c:extLst xmlns:c16r2="http://schemas.microsoft.com/office/drawing/2015/06/chart">
                <c:ext xmlns:c15="http://schemas.microsoft.com/office/drawing/2012/chart" uri="{CE6537A1-D6FC-4f65-9D91-7224C49458BB}">
                  <c15:layout>
                    <c:manualLayout>
                      <c:w val="0.17797276016173655"/>
                      <c:h val="7.151643758669772E-2"/>
                    </c:manualLayout>
                  </c15:layout>
                </c:ext>
                <c:ext xmlns:c16="http://schemas.microsoft.com/office/drawing/2014/chart" uri="{C3380CC4-5D6E-409C-BE32-E72D297353CC}">
                  <c16:uniqueId val="{00000001-4991-4D6C-982C-453089EE0A69}"/>
                </c:ext>
              </c:extLst>
            </c:dLbl>
            <c:dLbl>
              <c:idx val="1"/>
              <c:layout>
                <c:manualLayout>
                  <c:x val="5.2386252394126753E-2"/>
                  <c:y val="-0.2143721423725128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91-4D6C-982C-453089EE0A69}"/>
                </c:ext>
              </c:extLst>
            </c:dLbl>
            <c:dLbl>
              <c:idx val="2"/>
              <c:delete val="1"/>
            </c:dLbl>
            <c:dLbl>
              <c:idx val="3"/>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мужчины</c:v>
                </c:pt>
                <c:pt idx="1">
                  <c:v>женщины</c:v>
                </c:pt>
              </c:strCache>
            </c:strRef>
          </c:cat>
          <c:val>
            <c:numRef>
              <c:f>Лист1!$B$2:$B$5</c:f>
              <c:numCache>
                <c:formatCode>0.00%</c:formatCode>
                <c:ptCount val="4"/>
                <c:pt idx="0">
                  <c:v>0.35500000000000032</c:v>
                </c:pt>
                <c:pt idx="1">
                  <c:v>0.45800000000000002</c:v>
                </c:pt>
              </c:numCache>
            </c:numRef>
          </c:val>
          <c:extLst xmlns:c16r2="http://schemas.microsoft.com/office/drawing/2015/06/chart">
            <c:ext xmlns:c16="http://schemas.microsoft.com/office/drawing/2014/chart" uri="{C3380CC4-5D6E-409C-BE32-E72D297353CC}">
              <c16:uniqueId val="{00000008-4991-4D6C-982C-453089EE0A69}"/>
            </c:ext>
          </c:extLst>
        </c:ser>
      </c:pie3D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 подгруппа</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А подгруппа</c:v>
                </c:pt>
              </c:strCache>
            </c:strRef>
          </c:tx>
          <c:spPr>
            <a:solidFill>
              <a:schemeClr val="accent6">
                <a:lumMod val="20000"/>
                <a:lumOff val="80000"/>
              </a:schemeClr>
            </a:solidFill>
          </c:spPr>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003-4C58-9EA0-037AAD65495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003-4C58-9EA0-037AAD65495A}"/>
              </c:ext>
            </c:extLst>
          </c:dPt>
          <c:dPt>
            <c:idx val="2"/>
            <c:spPr>
              <a:solidFill>
                <a:schemeClr val="accent6">
                  <a:lumMod val="20000"/>
                  <a:lumOff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003-4C58-9EA0-037AAD65495A}"/>
              </c:ext>
            </c:extLst>
          </c:dPt>
          <c:dPt>
            <c:idx val="3"/>
            <c:spPr>
              <a:solidFill>
                <a:schemeClr val="accent6">
                  <a:lumMod val="20000"/>
                  <a:lumOff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003-4C58-9EA0-037AAD65495A}"/>
              </c:ext>
            </c:extLst>
          </c:dPt>
          <c:dLbls>
            <c:dLbl>
              <c:idx val="0"/>
              <c:layout>
                <c:manualLayout>
                  <c:x val="-2.5891891891891887E-2"/>
                  <c:y val="-0.3451033527482549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03-4C58-9EA0-037AAD65495A}"/>
                </c:ext>
              </c:extLst>
            </c:dLbl>
            <c:dLbl>
              <c:idx val="1"/>
              <c:layout>
                <c:manualLayout>
                  <c:x val="0.15782911257714519"/>
                  <c:y val="-9.8707662820593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03-4C58-9EA0-037AAD65495A}"/>
                </c:ext>
              </c:extLst>
            </c:dLbl>
            <c:dLbl>
              <c:idx val="2"/>
              <c:delete val="1"/>
            </c:dLbl>
            <c:dLbl>
              <c:idx val="3"/>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мужчины</c:v>
                </c:pt>
                <c:pt idx="1">
                  <c:v>женщины</c:v>
                </c:pt>
              </c:strCache>
            </c:strRef>
          </c:cat>
          <c:val>
            <c:numRef>
              <c:f>Лист1!$B$2:$B$5</c:f>
              <c:numCache>
                <c:formatCode>0.00%</c:formatCode>
                <c:ptCount val="4"/>
                <c:pt idx="0">
                  <c:v>0.13100000000000001</c:v>
                </c:pt>
                <c:pt idx="1">
                  <c:v>5.6000000000000001E-2</c:v>
                </c:pt>
              </c:numCache>
            </c:numRef>
          </c:val>
          <c:extLst xmlns:c16r2="http://schemas.microsoft.com/office/drawing/2015/06/chart">
            <c:ext xmlns:c16="http://schemas.microsoft.com/office/drawing/2014/chart" uri="{C3380CC4-5D6E-409C-BE32-E72D297353CC}">
              <c16:uniqueId val="{00000008-8003-4C58-9EA0-037AAD65495A}"/>
            </c:ext>
          </c:extLst>
        </c:ser>
      </c:pie3D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всего</c:v>
                </c:pt>
              </c:strCache>
            </c:strRef>
          </c:tx>
          <c:spPr>
            <a:solidFill>
              <a:srgbClr val="FF0000"/>
            </a:solidFill>
            <a:ln>
              <a:noFill/>
            </a:ln>
            <a:effectLst/>
          </c:spPr>
          <c:dLbls>
            <c:dLbl>
              <c:idx val="0"/>
              <c:layout>
                <c:manualLayout>
                  <c:x val="0"/>
                  <c:y val="-7.5396825396825434E-2"/>
                </c:manualLayout>
              </c:layout>
              <c:tx>
                <c:rich>
                  <a:bodyPr/>
                  <a:lstStyle/>
                  <a:p>
                    <a:r>
                      <a:rPr lang="en-US"/>
                      <a:t>17,7%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43-4C63-B388-423F4EA404C0}"/>
                </c:ext>
              </c:extLst>
            </c:dLbl>
            <c:dLbl>
              <c:idx val="1"/>
              <c:layout>
                <c:manualLayout>
                  <c:x val="2.3148148148148147E-3"/>
                  <c:y val="-6.746031746031747E-2"/>
                </c:manualLayout>
              </c:layout>
              <c:tx>
                <c:rich>
                  <a:bodyPr/>
                  <a:lstStyle/>
                  <a:p>
                    <a:r>
                      <a:rPr lang="en-US"/>
                      <a:t>8,4%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43-4C63-B388-423F4EA404C0}"/>
                </c:ext>
              </c:extLst>
            </c:dLbl>
            <c:dLbl>
              <c:idx val="2"/>
              <c:layout>
                <c:manualLayout>
                  <c:x val="-9.2592592592593507E-3"/>
                  <c:y val="-8.3333333333333523E-2"/>
                </c:manualLayout>
              </c:layout>
              <c:tx>
                <c:rich>
                  <a:bodyPr/>
                  <a:lstStyle/>
                  <a:p>
                    <a:r>
                      <a:rPr lang="en-US"/>
                      <a:t>9,3%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43-4C63-B388-423F4EA404C0}"/>
                </c:ext>
              </c:extLst>
            </c:dLbl>
            <c:dLbl>
              <c:idx val="3"/>
              <c:tx>
                <c:rich>
                  <a:bodyPr/>
                  <a:lstStyle/>
                  <a:p>
                    <a:r>
                      <a:rPr lang="en-US"/>
                      <a:t>82,3%</a:t>
                    </a:r>
                  </a:p>
                </c:rich>
              </c:tx>
              <c:showVal val="1"/>
            </c:dLbl>
            <c:dLbl>
              <c:idx val="4"/>
              <c:tx>
                <c:rich>
                  <a:bodyPr/>
                  <a:lstStyle/>
                  <a:p>
                    <a:r>
                      <a:rPr lang="en-US"/>
                      <a:t>40,2%</a:t>
                    </a:r>
                  </a:p>
                </c:rich>
              </c:tx>
              <c:showVal val="1"/>
            </c:dLbl>
            <c:dLbl>
              <c:idx val="5"/>
              <c:tx>
                <c:rich>
                  <a:bodyPr/>
                  <a:lstStyle/>
                  <a:p>
                    <a:r>
                      <a:rPr lang="en-US"/>
                      <a:t>42,1%</a:t>
                    </a:r>
                  </a:p>
                </c:rich>
              </c:tx>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II</c:v>
                </c:pt>
                <c:pt idx="1">
                  <c:v>II A стадия</c:v>
                </c:pt>
                <c:pt idx="2">
                  <c:v>II B стадия</c:v>
                </c:pt>
                <c:pt idx="3">
                  <c:v>III стадия</c:v>
                </c:pt>
                <c:pt idx="4">
                  <c:v>III A стадия</c:v>
                </c:pt>
                <c:pt idx="5">
                  <c:v>III B стадия</c:v>
                </c:pt>
              </c:strCache>
            </c:strRef>
          </c:cat>
          <c:val>
            <c:numRef>
              <c:f>Лист1!$B$2:$B$7</c:f>
              <c:numCache>
                <c:formatCode>0.00%</c:formatCode>
                <c:ptCount val="6"/>
                <c:pt idx="0">
                  <c:v>0.17700000000000007</c:v>
                </c:pt>
                <c:pt idx="1">
                  <c:v>8.4000000000000047E-2</c:v>
                </c:pt>
                <c:pt idx="2">
                  <c:v>9.3000000000000069E-2</c:v>
                </c:pt>
                <c:pt idx="3">
                  <c:v>0.82299999999999995</c:v>
                </c:pt>
                <c:pt idx="4">
                  <c:v>0.40200000000000002</c:v>
                </c:pt>
                <c:pt idx="5">
                  <c:v>0.42100000000000021</c:v>
                </c:pt>
              </c:numCache>
            </c:numRef>
          </c:val>
          <c:extLst xmlns:c16r2="http://schemas.microsoft.com/office/drawing/2015/06/chart">
            <c:ext xmlns:c16="http://schemas.microsoft.com/office/drawing/2014/chart" uri="{C3380CC4-5D6E-409C-BE32-E72D297353CC}">
              <c16:uniqueId val="{00000003-6B43-4C63-B388-423F4EA404C0}"/>
            </c:ext>
          </c:extLst>
        </c:ser>
        <c:ser>
          <c:idx val="1"/>
          <c:order val="1"/>
          <c:tx>
            <c:strRef>
              <c:f>Лист1!$C$1</c:f>
              <c:strCache>
                <c:ptCount val="1"/>
                <c:pt idx="0">
                  <c:v>мужчины</c:v>
                </c:pt>
              </c:strCache>
            </c:strRef>
          </c:tx>
          <c:spPr>
            <a:solidFill>
              <a:schemeClr val="accent6"/>
            </a:solidFill>
            <a:ln>
              <a:noFill/>
            </a:ln>
            <a:effectLst/>
          </c:spPr>
          <c:dLbls>
            <c:dLbl>
              <c:idx val="0"/>
              <c:layout>
                <c:manualLayout>
                  <c:x val="1.1574074074074099E-2"/>
                  <c:y val="-6.746031746031747E-2"/>
                </c:manualLayout>
              </c:layout>
              <c:tx>
                <c:rich>
                  <a:bodyPr/>
                  <a:lstStyle/>
                  <a:p>
                    <a:r>
                      <a:rPr lang="en-US"/>
                      <a:t>9,4%</a:t>
                    </a:r>
                  </a:p>
                </c:rich>
              </c:tx>
              <c:showVal val="1"/>
            </c:dLbl>
            <c:dLbl>
              <c:idx val="1"/>
              <c:layout>
                <c:manualLayout>
                  <c:x val="2.3148148148148147E-3"/>
                  <c:y val="-3.968253968253968E-2"/>
                </c:manualLayout>
              </c:layout>
              <c:tx>
                <c:rich>
                  <a:bodyPr/>
                  <a:lstStyle/>
                  <a:p>
                    <a:r>
                      <a:rPr lang="en-US"/>
                      <a:t>4,7%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43-4C63-B388-423F4EA404C0}"/>
                </c:ext>
              </c:extLst>
            </c:dLbl>
            <c:dLbl>
              <c:idx val="2"/>
              <c:layout>
                <c:manualLayout>
                  <c:x val="2.3148148148148147E-3"/>
                  <c:y val="-4.7619047619047623E-2"/>
                </c:manualLayout>
              </c:layout>
              <c:tx>
                <c:rich>
                  <a:bodyPr/>
                  <a:lstStyle/>
                  <a:p>
                    <a:r>
                      <a:rPr lang="en-US"/>
                      <a:t>4,7%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43-4C63-B388-423F4EA404C0}"/>
                </c:ext>
              </c:extLst>
            </c:dLbl>
            <c:dLbl>
              <c:idx val="3"/>
              <c:layout>
                <c:manualLayout>
                  <c:x val="1.3888888888888987E-2"/>
                  <c:y val="-1.5873015873015879E-2"/>
                </c:manualLayout>
              </c:layout>
              <c:tx>
                <c:rich>
                  <a:bodyPr/>
                  <a:lstStyle/>
                  <a:p>
                    <a:r>
                      <a:rPr lang="en-US"/>
                      <a:t>39,2%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43-4C63-B388-423F4EA404C0}"/>
                </c:ext>
              </c:extLst>
            </c:dLbl>
            <c:dLbl>
              <c:idx val="4"/>
              <c:layout>
                <c:manualLayout>
                  <c:x val="4.6296296296295504E-3"/>
                  <c:y val="-3.5714285714285712E-2"/>
                </c:manualLayout>
              </c:layout>
              <c:tx>
                <c:rich>
                  <a:bodyPr/>
                  <a:lstStyle/>
                  <a:p>
                    <a:r>
                      <a:rPr lang="en-US"/>
                      <a:t>14,0%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43-4C63-B388-423F4EA404C0}"/>
                </c:ext>
              </c:extLst>
            </c:dLbl>
            <c:dLbl>
              <c:idx val="5"/>
              <c:layout>
                <c:manualLayout>
                  <c:x val="9.2592592592591581E-3"/>
                  <c:y val="-3.1746031746031821E-2"/>
                </c:manualLayout>
              </c:layout>
              <c:tx>
                <c:rich>
                  <a:bodyPr/>
                  <a:lstStyle/>
                  <a:p>
                    <a:r>
                      <a:rPr lang="en-US"/>
                      <a:t>25,2%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B43-4C63-B388-423F4EA404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II</c:v>
                </c:pt>
                <c:pt idx="1">
                  <c:v>II A стадия</c:v>
                </c:pt>
                <c:pt idx="2">
                  <c:v>II B стадия</c:v>
                </c:pt>
                <c:pt idx="3">
                  <c:v>III стадия</c:v>
                </c:pt>
                <c:pt idx="4">
                  <c:v>III A стадия</c:v>
                </c:pt>
                <c:pt idx="5">
                  <c:v>III B стадия</c:v>
                </c:pt>
              </c:strCache>
            </c:strRef>
          </c:cat>
          <c:val>
            <c:numRef>
              <c:f>Лист1!$C$2:$C$7</c:f>
              <c:numCache>
                <c:formatCode>0.00%</c:formatCode>
                <c:ptCount val="6"/>
                <c:pt idx="0" formatCode="0%">
                  <c:v>9.4000000000000028E-2</c:v>
                </c:pt>
                <c:pt idx="1">
                  <c:v>4.7000000000000014E-2</c:v>
                </c:pt>
                <c:pt idx="2">
                  <c:v>4.7000000000000014E-2</c:v>
                </c:pt>
                <c:pt idx="3">
                  <c:v>0.39200000000000024</c:v>
                </c:pt>
                <c:pt idx="4">
                  <c:v>0.14000000000000001</c:v>
                </c:pt>
                <c:pt idx="5">
                  <c:v>0.252</c:v>
                </c:pt>
              </c:numCache>
            </c:numRef>
          </c:val>
          <c:extLst xmlns:c16r2="http://schemas.microsoft.com/office/drawing/2015/06/chart">
            <c:ext xmlns:c16="http://schemas.microsoft.com/office/drawing/2014/chart" uri="{C3380CC4-5D6E-409C-BE32-E72D297353CC}">
              <c16:uniqueId val="{0000000A-6B43-4C63-B388-423F4EA404C0}"/>
            </c:ext>
          </c:extLst>
        </c:ser>
        <c:ser>
          <c:idx val="2"/>
          <c:order val="2"/>
          <c:tx>
            <c:strRef>
              <c:f>Лист1!$D$1</c:f>
              <c:strCache>
                <c:ptCount val="1"/>
                <c:pt idx="0">
                  <c:v>женщины</c:v>
                </c:pt>
              </c:strCache>
            </c:strRef>
          </c:tx>
          <c:spPr>
            <a:solidFill>
              <a:srgbClr val="FFFF00"/>
            </a:solidFill>
            <a:ln>
              <a:noFill/>
            </a:ln>
            <a:effectLst/>
          </c:spPr>
          <c:dLbls>
            <c:dLbl>
              <c:idx val="0"/>
              <c:layout>
                <c:manualLayout>
                  <c:x val="1.157407407407406E-2"/>
                  <c:y val="-1.9841269841270093E-2"/>
                </c:manualLayout>
              </c:layout>
              <c:tx>
                <c:rich>
                  <a:bodyPr/>
                  <a:lstStyle/>
                  <a:p>
                    <a:r>
                      <a:rPr lang="en-US"/>
                      <a:t>7,5%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43-4C63-B388-423F4EA404C0}"/>
                </c:ext>
              </c:extLst>
            </c:dLbl>
            <c:dLbl>
              <c:idx val="1"/>
              <c:layout>
                <c:manualLayout>
                  <c:x val="4.6296296296295903E-3"/>
                  <c:y val="-1.1904761904761921E-2"/>
                </c:manualLayout>
              </c:layout>
              <c:tx>
                <c:rich>
                  <a:bodyPr/>
                  <a:lstStyle/>
                  <a:p>
                    <a:r>
                      <a:rPr lang="en-US"/>
                      <a:t>2,8%</a:t>
                    </a:r>
                  </a:p>
                </c:rich>
              </c:tx>
              <c:showVal val="1"/>
            </c:dLbl>
            <c:dLbl>
              <c:idx val="2"/>
              <c:layout>
                <c:manualLayout>
                  <c:x val="1.8518518518518583E-2"/>
                  <c:y val="-3.9682539682539802E-3"/>
                </c:manualLayout>
              </c:layout>
              <c:tx>
                <c:rich>
                  <a:bodyPr/>
                  <a:lstStyle/>
                  <a:p>
                    <a:r>
                      <a:rPr lang="en-US"/>
                      <a:t>4,7%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B43-4C63-B388-423F4EA404C0}"/>
                </c:ext>
              </c:extLst>
            </c:dLbl>
            <c:dLbl>
              <c:idx val="3"/>
              <c:layout>
                <c:manualLayout>
                  <c:x val="1.3888888888888987E-2"/>
                  <c:y val="-5.9523809523809507E-2"/>
                </c:manualLayout>
              </c:layout>
              <c:tx>
                <c:rich>
                  <a:bodyPr/>
                  <a:lstStyle/>
                  <a:p>
                    <a:r>
                      <a:rPr lang="en-US"/>
                      <a:t>43,0%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B43-4C63-B388-423F4EA404C0}"/>
                </c:ext>
              </c:extLst>
            </c:dLbl>
            <c:dLbl>
              <c:idx val="4"/>
              <c:layout>
                <c:manualLayout>
                  <c:x val="9.2592592592591581E-3"/>
                  <c:y val="-3.9682539682539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B43-4C63-B388-423F4EA404C0}"/>
                </c:ext>
              </c:extLst>
            </c:dLbl>
            <c:dLbl>
              <c:idx val="5"/>
              <c:layout>
                <c:manualLayout>
                  <c:x val="2.5462962962962982E-2"/>
                  <c:y val="-1.1904761904761987E-2"/>
                </c:manualLayout>
              </c:layout>
              <c:tx>
                <c:rich>
                  <a:bodyPr/>
                  <a:lstStyle/>
                  <a:p>
                    <a:r>
                      <a:rPr lang="en-US"/>
                      <a:t>16,8%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B43-4C63-B388-423F4EA404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II</c:v>
                </c:pt>
                <c:pt idx="1">
                  <c:v>II A стадия</c:v>
                </c:pt>
                <c:pt idx="2">
                  <c:v>II B стадия</c:v>
                </c:pt>
                <c:pt idx="3">
                  <c:v>III стадия</c:v>
                </c:pt>
                <c:pt idx="4">
                  <c:v>III A стадия</c:v>
                </c:pt>
                <c:pt idx="5">
                  <c:v>III B стадия</c:v>
                </c:pt>
              </c:strCache>
            </c:strRef>
          </c:cat>
          <c:val>
            <c:numRef>
              <c:f>Лист1!$D$2:$D$7</c:f>
              <c:numCache>
                <c:formatCode>0.00%</c:formatCode>
                <c:ptCount val="6"/>
                <c:pt idx="0">
                  <c:v>7.5000000000000011E-2</c:v>
                </c:pt>
                <c:pt idx="1">
                  <c:v>2.8000000000000001E-2</c:v>
                </c:pt>
                <c:pt idx="2">
                  <c:v>4.7000000000000014E-2</c:v>
                </c:pt>
                <c:pt idx="3">
                  <c:v>0.43000000000000016</c:v>
                </c:pt>
                <c:pt idx="4">
                  <c:v>0.26200000000000001</c:v>
                </c:pt>
                <c:pt idx="5">
                  <c:v>0.16800000000000001</c:v>
                </c:pt>
              </c:numCache>
            </c:numRef>
          </c:val>
          <c:extLst xmlns:c16r2="http://schemas.microsoft.com/office/drawing/2015/06/chart">
            <c:ext xmlns:c16="http://schemas.microsoft.com/office/drawing/2014/chart" uri="{C3380CC4-5D6E-409C-BE32-E72D297353CC}">
              <c16:uniqueId val="{00000011-6B43-4C63-B388-423F4EA404C0}"/>
            </c:ext>
          </c:extLst>
        </c:ser>
        <c:gapWidth val="219"/>
        <c:overlap val="-27"/>
        <c:axId val="101365632"/>
        <c:axId val="101367168"/>
      </c:barChart>
      <c:catAx>
        <c:axId val="1013656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367168"/>
        <c:crosses val="autoZero"/>
        <c:auto val="1"/>
        <c:lblAlgn val="ctr"/>
        <c:lblOffset val="100"/>
      </c:catAx>
      <c:valAx>
        <c:axId val="1013671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365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обследованны больные ММ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II стадия</c:v>
                </c:pt>
                <c:pt idx="1">
                  <c:v>II A стадия</c:v>
                </c:pt>
                <c:pt idx="2">
                  <c:v>II B стадия</c:v>
                </c:pt>
                <c:pt idx="3">
                  <c:v>III стадия</c:v>
                </c:pt>
                <c:pt idx="4">
                  <c:v>III A стадия</c:v>
                </c:pt>
                <c:pt idx="5">
                  <c:v>III B стадия</c:v>
                </c:pt>
              </c:strCache>
            </c:strRef>
          </c:cat>
          <c:val>
            <c:numRef>
              <c:f>Лист1!$B$2:$B$7</c:f>
              <c:numCache>
                <c:formatCode>General</c:formatCode>
                <c:ptCount val="6"/>
                <c:pt idx="0">
                  <c:v>21</c:v>
                </c:pt>
                <c:pt idx="1">
                  <c:v>12</c:v>
                </c:pt>
                <c:pt idx="2">
                  <c:v>9</c:v>
                </c:pt>
                <c:pt idx="3">
                  <c:v>103</c:v>
                </c:pt>
                <c:pt idx="4">
                  <c:v>51</c:v>
                </c:pt>
                <c:pt idx="5">
                  <c:v>52</c:v>
                </c:pt>
              </c:numCache>
            </c:numRef>
          </c:val>
          <c:extLst xmlns:c16r2="http://schemas.microsoft.com/office/drawing/2015/06/chart">
            <c:ext xmlns:c16="http://schemas.microsoft.com/office/drawing/2014/chart" uri="{C3380CC4-5D6E-409C-BE32-E72D297353CC}">
              <c16:uniqueId val="{00000000-2658-4D05-B883-961015FBE540}"/>
            </c:ext>
          </c:extLst>
        </c:ser>
        <c:ser>
          <c:idx val="1"/>
          <c:order val="1"/>
          <c:tx>
            <c:strRef>
              <c:f>Лист1!$C$1</c:f>
              <c:strCache>
                <c:ptCount val="1"/>
                <c:pt idx="0">
                  <c:v>мужчины</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II стадия</c:v>
                </c:pt>
                <c:pt idx="1">
                  <c:v>II A стадия</c:v>
                </c:pt>
                <c:pt idx="2">
                  <c:v>II B стадия</c:v>
                </c:pt>
                <c:pt idx="3">
                  <c:v>III стадия</c:v>
                </c:pt>
                <c:pt idx="4">
                  <c:v>III A стадия</c:v>
                </c:pt>
                <c:pt idx="5">
                  <c:v>III B стадия</c:v>
                </c:pt>
              </c:strCache>
            </c:strRef>
          </c:cat>
          <c:val>
            <c:numRef>
              <c:f>Лист1!$C$2:$C$7</c:f>
              <c:numCache>
                <c:formatCode>General</c:formatCode>
                <c:ptCount val="6"/>
                <c:pt idx="0">
                  <c:v>14</c:v>
                </c:pt>
                <c:pt idx="1">
                  <c:v>7</c:v>
                </c:pt>
                <c:pt idx="2">
                  <c:v>7</c:v>
                </c:pt>
                <c:pt idx="3">
                  <c:v>47</c:v>
                </c:pt>
                <c:pt idx="4">
                  <c:v>20</c:v>
                </c:pt>
                <c:pt idx="5">
                  <c:v>27</c:v>
                </c:pt>
              </c:numCache>
            </c:numRef>
          </c:val>
          <c:extLst xmlns:c16r2="http://schemas.microsoft.com/office/drawing/2015/06/chart">
            <c:ext xmlns:c16="http://schemas.microsoft.com/office/drawing/2014/chart" uri="{C3380CC4-5D6E-409C-BE32-E72D297353CC}">
              <c16:uniqueId val="{00000001-2658-4D05-B883-961015FBE540}"/>
            </c:ext>
          </c:extLst>
        </c:ser>
        <c:ser>
          <c:idx val="2"/>
          <c:order val="2"/>
          <c:tx>
            <c:strRef>
              <c:f>Лист1!$D$1</c:f>
              <c:strCache>
                <c:ptCount val="1"/>
                <c:pt idx="0">
                  <c:v>женщины</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II стадия</c:v>
                </c:pt>
                <c:pt idx="1">
                  <c:v>II A стадия</c:v>
                </c:pt>
                <c:pt idx="2">
                  <c:v>II B стадия</c:v>
                </c:pt>
                <c:pt idx="3">
                  <c:v>III стадия</c:v>
                </c:pt>
                <c:pt idx="4">
                  <c:v>III A стадия</c:v>
                </c:pt>
                <c:pt idx="5">
                  <c:v>III B стадия</c:v>
                </c:pt>
              </c:strCache>
            </c:strRef>
          </c:cat>
          <c:val>
            <c:numRef>
              <c:f>Лист1!$D$2:$D$7</c:f>
              <c:numCache>
                <c:formatCode>General</c:formatCode>
                <c:ptCount val="6"/>
                <c:pt idx="0">
                  <c:v>10</c:v>
                </c:pt>
                <c:pt idx="1">
                  <c:v>5</c:v>
                </c:pt>
                <c:pt idx="2">
                  <c:v>5</c:v>
                </c:pt>
                <c:pt idx="3">
                  <c:v>56</c:v>
                </c:pt>
                <c:pt idx="4">
                  <c:v>31</c:v>
                </c:pt>
                <c:pt idx="5">
                  <c:v>25</c:v>
                </c:pt>
              </c:numCache>
            </c:numRef>
          </c:val>
          <c:extLst xmlns:c16r2="http://schemas.microsoft.com/office/drawing/2015/06/chart">
            <c:ext xmlns:c16="http://schemas.microsoft.com/office/drawing/2014/chart" uri="{C3380CC4-5D6E-409C-BE32-E72D297353CC}">
              <c16:uniqueId val="{00000002-2658-4D05-B883-961015FBE540}"/>
            </c:ext>
          </c:extLst>
        </c:ser>
        <c:gapWidth val="219"/>
        <c:overlap val="-27"/>
        <c:axId val="89051136"/>
        <c:axId val="89081728"/>
      </c:barChart>
      <c:catAx>
        <c:axId val="89051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081728"/>
        <c:crosses val="autoZero"/>
        <c:auto val="1"/>
        <c:lblAlgn val="ctr"/>
        <c:lblOffset val="100"/>
      </c:catAx>
      <c:valAx>
        <c:axId val="89081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051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6687992125984265E-2"/>
          <c:y val="4.7619047619047623E-2"/>
          <c:w val="0.87784904491105364"/>
          <c:h val="0.77351831021122353"/>
        </c:manualLayout>
      </c:layout>
      <c:barChart>
        <c:barDir val="col"/>
        <c:grouping val="clustered"/>
        <c:ser>
          <c:idx val="0"/>
          <c:order val="0"/>
          <c:tx>
            <c:strRef>
              <c:f>Лист1!$B$1</c:f>
              <c:strCache>
                <c:ptCount val="1"/>
                <c:pt idx="0">
                  <c:v>20-30 лет</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Лист1!$B$2:$B$6</c:f>
              <c:numCache>
                <c:formatCode>General</c:formatCode>
                <c:ptCount val="5"/>
                <c:pt idx="0" formatCode="0.00%">
                  <c:v>9.3000000000000305E-3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0209-4DC9-AA5A-1AA114E1C00B}"/>
            </c:ext>
          </c:extLst>
        </c:ser>
        <c:ser>
          <c:idx val="1"/>
          <c:order val="1"/>
          <c:tx>
            <c:strRef>
              <c:f>Лист1!$C$1</c:f>
              <c:strCache>
                <c:ptCount val="1"/>
                <c:pt idx="0">
                  <c:v>30-40 лет</c:v>
                </c:pt>
              </c:strCache>
            </c:strRef>
          </c:tx>
          <c:spPr>
            <a:solidFill>
              <a:schemeClr val="accent2"/>
            </a:solidFill>
            <a:ln>
              <a:noFill/>
            </a:ln>
            <a:effectLst/>
          </c:spPr>
          <c:dLbls>
            <c:dLbl>
              <c:idx val="0"/>
              <c:layout>
                <c:manualLayout>
                  <c:x val="-2.0833333333333412E-2"/>
                  <c:y val="-7.936507936507979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09-4DC9-AA5A-1AA114E1C0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Лист1!$C$2:$C$6</c:f>
              <c:numCache>
                <c:formatCode>0.00%</c:formatCode>
                <c:ptCount val="5"/>
                <c:pt idx="0">
                  <c:v>0.10299999999999998</c:v>
                </c:pt>
                <c:pt idx="1">
                  <c:v>1.9000000000000048E-2</c:v>
                </c:pt>
                <c:pt idx="2">
                  <c:v>9.3000000000000305E-3</c:v>
                </c:pt>
                <c:pt idx="3" formatCode="General">
                  <c:v>0</c:v>
                </c:pt>
                <c:pt idx="4">
                  <c:v>2.8299999999999999E-2</c:v>
                </c:pt>
              </c:numCache>
            </c:numRef>
          </c:val>
          <c:extLst xmlns:c16r2="http://schemas.microsoft.com/office/drawing/2015/06/chart">
            <c:ext xmlns:c16="http://schemas.microsoft.com/office/drawing/2014/chart" uri="{C3380CC4-5D6E-409C-BE32-E72D297353CC}">
              <c16:uniqueId val="{00000002-0209-4DC9-AA5A-1AA114E1C00B}"/>
            </c:ext>
          </c:extLst>
        </c:ser>
        <c:ser>
          <c:idx val="2"/>
          <c:order val="2"/>
          <c:tx>
            <c:strRef>
              <c:f>Лист1!$D$1</c:f>
              <c:strCache>
                <c:ptCount val="1"/>
                <c:pt idx="0">
                  <c:v>40-50 лет</c:v>
                </c:pt>
              </c:strCache>
            </c:strRef>
          </c:tx>
          <c:spPr>
            <a:solidFill>
              <a:schemeClr val="accent3"/>
            </a:solidFill>
            <a:ln>
              <a:noFill/>
            </a:ln>
            <a:effectLst/>
          </c:spPr>
          <c:dLbls>
            <c:dLbl>
              <c:idx val="0"/>
              <c:layout>
                <c:manualLayout>
                  <c:x val="-3.0092592592592591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09-4DC9-AA5A-1AA114E1C00B}"/>
                </c:ext>
              </c:extLst>
            </c:dLbl>
            <c:dLbl>
              <c:idx val="2"/>
              <c:layout>
                <c:manualLayout>
                  <c:x val="-6.9444444444444788E-3"/>
                  <c:y val="-3.96825396825398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09-4DC9-AA5A-1AA114E1C0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Лист1!$D$2:$D$6</c:f>
              <c:numCache>
                <c:formatCode>0.00%</c:formatCode>
                <c:ptCount val="5"/>
                <c:pt idx="0">
                  <c:v>0.16800000000000001</c:v>
                </c:pt>
                <c:pt idx="1">
                  <c:v>3.7300000000000041E-2</c:v>
                </c:pt>
                <c:pt idx="2">
                  <c:v>9.3000000000000305E-3</c:v>
                </c:pt>
                <c:pt idx="3">
                  <c:v>3.7300000000000041E-2</c:v>
                </c:pt>
                <c:pt idx="4">
                  <c:v>9.3000000000000305E-3</c:v>
                </c:pt>
              </c:numCache>
            </c:numRef>
          </c:val>
          <c:extLst xmlns:c16r2="http://schemas.microsoft.com/office/drawing/2015/06/chart">
            <c:ext xmlns:c16="http://schemas.microsoft.com/office/drawing/2014/chart" uri="{C3380CC4-5D6E-409C-BE32-E72D297353CC}">
              <c16:uniqueId val="{00000005-0209-4DC9-AA5A-1AA114E1C00B}"/>
            </c:ext>
          </c:extLst>
        </c:ser>
        <c:ser>
          <c:idx val="3"/>
          <c:order val="3"/>
          <c:tx>
            <c:strRef>
              <c:f>Лист1!$E$1</c:f>
              <c:strCache>
                <c:ptCount val="1"/>
                <c:pt idx="0">
                  <c:v>50-60 лет</c:v>
                </c:pt>
              </c:strCache>
            </c:strRef>
          </c:tx>
          <c:spPr>
            <a:solidFill>
              <a:schemeClr val="accent4"/>
            </a:solidFill>
            <a:ln>
              <a:noFill/>
            </a:ln>
            <a:effectLst/>
          </c:spPr>
          <c:dLbls>
            <c:dLbl>
              <c:idx val="0"/>
              <c:layout>
                <c:manualLayout>
                  <c:x val="1.157407407407406E-2"/>
                  <c:y val="-4.36507936507937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09-4DC9-AA5A-1AA114E1C00B}"/>
                </c:ext>
              </c:extLst>
            </c:dLbl>
            <c:dLbl>
              <c:idx val="3"/>
              <c:layout>
                <c:manualLayout>
                  <c:x val="-4.6296296296296589E-3"/>
                  <c:y val="-6.3492063492063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09-4DC9-AA5A-1AA114E1C0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Лист1!$E$2:$E$6</c:f>
              <c:numCache>
                <c:formatCode>0.00%</c:formatCode>
                <c:ptCount val="5"/>
                <c:pt idx="0">
                  <c:v>0.16800000000000001</c:v>
                </c:pt>
                <c:pt idx="1">
                  <c:v>8.4000000000000047E-2</c:v>
                </c:pt>
                <c:pt idx="2">
                  <c:v>2.8000000000000001E-2</c:v>
                </c:pt>
                <c:pt idx="3">
                  <c:v>4.6300000000000001E-2</c:v>
                </c:pt>
                <c:pt idx="4">
                  <c:v>8.4100000000000022E-2</c:v>
                </c:pt>
              </c:numCache>
            </c:numRef>
          </c:val>
          <c:extLst xmlns:c16r2="http://schemas.microsoft.com/office/drawing/2015/06/chart">
            <c:ext xmlns:c16="http://schemas.microsoft.com/office/drawing/2014/chart" uri="{C3380CC4-5D6E-409C-BE32-E72D297353CC}">
              <c16:uniqueId val="{00000008-0209-4DC9-AA5A-1AA114E1C00B}"/>
            </c:ext>
          </c:extLst>
        </c:ser>
        <c:ser>
          <c:idx val="4"/>
          <c:order val="4"/>
          <c:tx>
            <c:strRef>
              <c:f>Лист1!$F$1</c:f>
              <c:strCache>
                <c:ptCount val="1"/>
                <c:pt idx="0">
                  <c:v>60-70 лет</c:v>
                </c:pt>
              </c:strCache>
            </c:strRef>
          </c:tx>
          <c:spPr>
            <a:solidFill>
              <a:schemeClr val="accent5"/>
            </a:solidFill>
            <a:ln>
              <a:noFill/>
            </a:ln>
            <a:effectLst/>
          </c:spPr>
          <c:dLbls>
            <c:dLbl>
              <c:idx val="0"/>
              <c:layout>
                <c:manualLayout>
                  <c:x val="3.4722222222222224E-2"/>
                  <c:y val="-2.3809523809523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09-4DC9-AA5A-1AA114E1C00B}"/>
                </c:ext>
              </c:extLst>
            </c:dLbl>
            <c:dLbl>
              <c:idx val="2"/>
              <c:layout>
                <c:manualLayout>
                  <c:x val="1.8518518518518583E-2"/>
                  <c:y val="-2.77777777777779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09-4DC9-AA5A-1AA114E1C00B}"/>
                </c:ext>
              </c:extLst>
            </c:dLbl>
            <c:dLbl>
              <c:idx val="3"/>
              <c:layout>
                <c:manualLayout>
                  <c:x val="2.7777777777777912E-2"/>
                  <c:y val="7.275048233154479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09-4DC9-AA5A-1AA114E1C0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Лист1!$F$2:$F$6</c:f>
              <c:numCache>
                <c:formatCode>0.00%</c:formatCode>
                <c:ptCount val="5"/>
                <c:pt idx="0">
                  <c:v>0.10299999999999998</c:v>
                </c:pt>
                <c:pt idx="1">
                  <c:v>4.6300000000000001E-2</c:v>
                </c:pt>
                <c:pt idx="2">
                  <c:v>9.3000000000000305E-3</c:v>
                </c:pt>
                <c:pt idx="3">
                  <c:v>3.6999999999999998E-2</c:v>
                </c:pt>
                <c:pt idx="4">
                  <c:v>1.9000000000000048E-2</c:v>
                </c:pt>
              </c:numCache>
            </c:numRef>
          </c:val>
          <c:extLst xmlns:c16r2="http://schemas.microsoft.com/office/drawing/2015/06/chart">
            <c:ext xmlns:c16="http://schemas.microsoft.com/office/drawing/2014/chart" uri="{C3380CC4-5D6E-409C-BE32-E72D297353CC}">
              <c16:uniqueId val="{0000000C-0209-4DC9-AA5A-1AA114E1C00B}"/>
            </c:ext>
          </c:extLst>
        </c:ser>
        <c:ser>
          <c:idx val="5"/>
          <c:order val="5"/>
          <c:tx>
            <c:strRef>
              <c:f>Лист1!$G$1</c:f>
              <c:strCache>
                <c:ptCount val="1"/>
                <c:pt idx="0">
                  <c:v>70-80 лет</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Лист1!$G$2:$G$6</c:f>
              <c:numCache>
                <c:formatCode>0.00%</c:formatCode>
                <c:ptCount val="5"/>
                <c:pt idx="0">
                  <c:v>3.6999999999999998E-2</c:v>
                </c:pt>
                <c:pt idx="1">
                  <c:v>1.9000000000000048E-2</c:v>
                </c:pt>
                <c:pt idx="2" formatCode="General">
                  <c:v>0</c:v>
                </c:pt>
                <c:pt idx="3">
                  <c:v>9.3000000000000305E-3</c:v>
                </c:pt>
                <c:pt idx="4">
                  <c:v>9.3000000000000305E-3</c:v>
                </c:pt>
              </c:numCache>
            </c:numRef>
          </c:val>
          <c:extLst xmlns:c16r2="http://schemas.microsoft.com/office/drawing/2015/06/chart">
            <c:ext xmlns:c16="http://schemas.microsoft.com/office/drawing/2014/chart" uri="{C3380CC4-5D6E-409C-BE32-E72D297353CC}">
              <c16:uniqueId val="{0000000D-0209-4DC9-AA5A-1AA114E1C00B}"/>
            </c:ext>
          </c:extLst>
        </c:ser>
        <c:gapWidth val="219"/>
        <c:overlap val="-27"/>
        <c:axId val="101491840"/>
        <c:axId val="101493376"/>
      </c:barChart>
      <c:catAx>
        <c:axId val="101491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493376"/>
        <c:crosses val="autoZero"/>
        <c:auto val="1"/>
        <c:lblAlgn val="ctr"/>
        <c:lblOffset val="100"/>
      </c:catAx>
      <c:valAx>
        <c:axId val="10149337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4918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клинических</a:t>
            </a:r>
            <a:r>
              <a:rPr lang="ru-RU" baseline="0"/>
              <a:t> проявлений ММ</a:t>
            </a:r>
            <a:endParaRPr lang="ru-RU"/>
          </a:p>
        </c:rich>
      </c:tx>
      <c:spPr>
        <a:noFill/>
        <a:ln>
          <a:noFill/>
        </a:ln>
        <a:effectLst/>
      </c:spPr>
    </c:title>
    <c:plotArea>
      <c:layout/>
      <c:barChart>
        <c:barDir val="bar"/>
        <c:grouping val="clustered"/>
        <c:ser>
          <c:idx val="0"/>
          <c:order val="0"/>
          <c:tx>
            <c:strRef>
              <c:f>Лист1!$B$1</c:f>
              <c:strCache>
                <c:ptCount val="1"/>
                <c:pt idx="0">
                  <c:v>до лечения</c:v>
                </c:pt>
              </c:strCache>
            </c:strRef>
          </c:tx>
          <c:spPr>
            <a:solidFill>
              <a:schemeClr val="accent1"/>
            </a:solidFill>
            <a:ln>
              <a:noFill/>
            </a:ln>
            <a:effectLst/>
          </c:spPr>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B3-4F7C-88BA-3D0E435FB6C0}"/>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B3-4F7C-88BA-3D0E435FB6C0}"/>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B3-4F7C-88BA-3D0E435FB6C0}"/>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B3-4F7C-88BA-3D0E435FB6C0}"/>
                </c:ext>
              </c:extLst>
            </c:dLbl>
            <c:dLbl>
              <c:idx val="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B3-4F7C-88BA-3D0E435FB6C0}"/>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оссалгия</c:v>
                </c:pt>
                <c:pt idx="1">
                  <c:v>патологические переломы</c:v>
                </c:pt>
                <c:pt idx="2">
                  <c:v>инфекцион осложнения</c:v>
                </c:pt>
                <c:pt idx="3">
                  <c:v>ХПН</c:v>
                </c:pt>
                <c:pt idx="4">
                  <c:v>экстрамедул поражения</c:v>
                </c:pt>
              </c:strCache>
            </c:strRef>
          </c:cat>
          <c:val>
            <c:numRef>
              <c:f>Лист1!$B$2:$B$6</c:f>
              <c:numCache>
                <c:formatCode>0.00%</c:formatCode>
                <c:ptCount val="5"/>
                <c:pt idx="0">
                  <c:v>1</c:v>
                </c:pt>
                <c:pt idx="1">
                  <c:v>0.82500000000000062</c:v>
                </c:pt>
                <c:pt idx="2">
                  <c:v>0.39300000000000185</c:v>
                </c:pt>
                <c:pt idx="3">
                  <c:v>0.441</c:v>
                </c:pt>
                <c:pt idx="4">
                  <c:v>0.13300000000000001</c:v>
                </c:pt>
              </c:numCache>
            </c:numRef>
          </c:val>
          <c:extLst xmlns:c16r2="http://schemas.microsoft.com/office/drawing/2015/06/chart">
            <c:ext xmlns:c16="http://schemas.microsoft.com/office/drawing/2014/chart" uri="{C3380CC4-5D6E-409C-BE32-E72D297353CC}">
              <c16:uniqueId val="{00000005-76B3-4F7C-88BA-3D0E435FB6C0}"/>
            </c:ext>
          </c:extLst>
        </c:ser>
        <c:ser>
          <c:idx val="1"/>
          <c:order val="1"/>
          <c:tx>
            <c:strRef>
              <c:f>Лист1!$C$1</c:f>
              <c:strCache>
                <c:ptCount val="1"/>
                <c:pt idx="0">
                  <c:v>после лечения "А" подгруппа</c:v>
                </c:pt>
              </c:strCache>
            </c:strRef>
          </c:tx>
          <c:spPr>
            <a:solidFill>
              <a:schemeClr val="accent2"/>
            </a:solidFill>
            <a:ln>
              <a:noFill/>
            </a:ln>
            <a:effectLst/>
          </c:spPr>
          <c:dLbls>
            <c:dLbl>
              <c:idx val="4"/>
              <c:layout>
                <c:manualLayout>
                  <c:x val="6.9444444444444788E-3"/>
                  <c:y val="-4.36507936507937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B3-4F7C-88BA-3D0E435FB6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оссалгия</c:v>
                </c:pt>
                <c:pt idx="1">
                  <c:v>патологические переломы</c:v>
                </c:pt>
                <c:pt idx="2">
                  <c:v>инфекцион осложнения</c:v>
                </c:pt>
                <c:pt idx="3">
                  <c:v>ХПН</c:v>
                </c:pt>
                <c:pt idx="4">
                  <c:v>экстрамедул поражения</c:v>
                </c:pt>
              </c:strCache>
            </c:strRef>
          </c:cat>
          <c:val>
            <c:numRef>
              <c:f>Лист1!$C$2:$C$6</c:f>
              <c:numCache>
                <c:formatCode>General</c:formatCode>
                <c:ptCount val="5"/>
                <c:pt idx="0" formatCode="0.00%">
                  <c:v>0.36700000000000038</c:v>
                </c:pt>
                <c:pt idx="1">
                  <c:v>0</c:v>
                </c:pt>
                <c:pt idx="2" formatCode="0.00%">
                  <c:v>8.0000000000000043E-2</c:v>
                </c:pt>
                <c:pt idx="3" formatCode="0.00%">
                  <c:v>0.21800000000000044</c:v>
                </c:pt>
                <c:pt idx="4" formatCode="0.00%">
                  <c:v>6.9000000000000034E-2</c:v>
                </c:pt>
              </c:numCache>
            </c:numRef>
          </c:val>
          <c:extLst xmlns:c16r2="http://schemas.microsoft.com/office/drawing/2015/06/chart">
            <c:ext xmlns:c16="http://schemas.microsoft.com/office/drawing/2014/chart" uri="{C3380CC4-5D6E-409C-BE32-E72D297353CC}">
              <c16:uniqueId val="{00000007-76B3-4F7C-88BA-3D0E435FB6C0}"/>
            </c:ext>
          </c:extLst>
        </c:ser>
        <c:ser>
          <c:idx val="2"/>
          <c:order val="2"/>
          <c:tx>
            <c:strRef>
              <c:f>Лист1!$D$1</c:f>
              <c:strCache>
                <c:ptCount val="1"/>
                <c:pt idx="0">
                  <c:v> после лечения "Б" подгруппа</c:v>
                </c:pt>
              </c:strCache>
            </c:strRef>
          </c:tx>
          <c:spPr>
            <a:solidFill>
              <a:schemeClr val="accent3"/>
            </a:solidFill>
            <a:ln>
              <a:noFill/>
            </a:ln>
            <a:effectLst/>
          </c:spPr>
          <c:cat>
            <c:strRef>
              <c:f>Лист1!$A$2:$A$6</c:f>
              <c:strCache>
                <c:ptCount val="5"/>
                <c:pt idx="0">
                  <c:v>оссалгия</c:v>
                </c:pt>
                <c:pt idx="1">
                  <c:v>патологические переломы</c:v>
                </c:pt>
                <c:pt idx="2">
                  <c:v>инфекцион осложнения</c:v>
                </c:pt>
                <c:pt idx="3">
                  <c:v>ХПН</c:v>
                </c:pt>
                <c:pt idx="4">
                  <c:v>экстрамедул поражения</c:v>
                </c:pt>
              </c:strCache>
            </c:strRef>
          </c:cat>
          <c:val>
            <c:numRef>
              <c:f>Лист1!$D$2:$D$6</c:f>
              <c:numCache>
                <c:formatCode>0.00%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8-76B3-4F7C-88BA-3D0E435FB6C0}"/>
            </c:ext>
          </c:extLst>
        </c:ser>
        <c:gapWidth val="182"/>
        <c:axId val="101626240"/>
        <c:axId val="101627776"/>
      </c:barChart>
      <c:catAx>
        <c:axId val="1016262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627776"/>
        <c:crosses val="autoZero"/>
        <c:auto val="1"/>
        <c:lblAlgn val="ctr"/>
        <c:lblOffset val="100"/>
      </c:catAx>
      <c:valAx>
        <c:axId val="101627776"/>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626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I степень</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до лечения</c:v>
                </c:pt>
                <c:pt idx="1">
                  <c:v>А подгруппа</c:v>
                </c:pt>
                <c:pt idx="2">
                  <c:v>Б подгруппа</c:v>
                </c:pt>
              </c:strCache>
            </c:strRef>
          </c:cat>
          <c:val>
            <c:numRef>
              <c:f>Лист1!$B$2:$B$6</c:f>
              <c:numCache>
                <c:formatCode>General</c:formatCode>
                <c:ptCount val="5"/>
                <c:pt idx="0">
                  <c:v>20.3</c:v>
                </c:pt>
                <c:pt idx="1">
                  <c:v>42.5</c:v>
                </c:pt>
                <c:pt idx="2">
                  <c:v>55</c:v>
                </c:pt>
              </c:numCache>
            </c:numRef>
          </c:val>
          <c:extLst xmlns:c16r2="http://schemas.microsoft.com/office/drawing/2015/06/chart">
            <c:ext xmlns:c16="http://schemas.microsoft.com/office/drawing/2014/chart" uri="{C3380CC4-5D6E-409C-BE32-E72D297353CC}">
              <c16:uniqueId val="{00000000-9FB5-46E1-9F71-FB67D341D01E}"/>
            </c:ext>
          </c:extLst>
        </c:ser>
        <c:ser>
          <c:idx val="1"/>
          <c:order val="1"/>
          <c:tx>
            <c:strRef>
              <c:f>Лист1!$C$1</c:f>
              <c:strCache>
                <c:ptCount val="1"/>
                <c:pt idx="0">
                  <c:v>II степень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до лечения</c:v>
                </c:pt>
                <c:pt idx="1">
                  <c:v>А подгруппа</c:v>
                </c:pt>
                <c:pt idx="2">
                  <c:v>Б подгруппа</c:v>
                </c:pt>
              </c:strCache>
            </c:strRef>
          </c:cat>
          <c:val>
            <c:numRef>
              <c:f>Лист1!$C$2:$C$6</c:f>
              <c:numCache>
                <c:formatCode>General</c:formatCode>
                <c:ptCount val="5"/>
                <c:pt idx="0">
                  <c:v>35.6</c:v>
                </c:pt>
                <c:pt idx="1">
                  <c:v>21.8</c:v>
                </c:pt>
                <c:pt idx="2">
                  <c:v>25</c:v>
                </c:pt>
              </c:numCache>
            </c:numRef>
          </c:val>
          <c:extLst xmlns:c16r2="http://schemas.microsoft.com/office/drawing/2015/06/chart">
            <c:ext xmlns:c16="http://schemas.microsoft.com/office/drawing/2014/chart" uri="{C3380CC4-5D6E-409C-BE32-E72D297353CC}">
              <c16:uniqueId val="{00000001-9FB5-46E1-9F71-FB67D341D01E}"/>
            </c:ext>
          </c:extLst>
        </c:ser>
        <c:ser>
          <c:idx val="2"/>
          <c:order val="2"/>
          <c:tx>
            <c:strRef>
              <c:f>Лист1!$D$1</c:f>
              <c:strCache>
                <c:ptCount val="1"/>
                <c:pt idx="0">
                  <c:v>III степень</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до лечения</c:v>
                </c:pt>
                <c:pt idx="1">
                  <c:v>А подгруппа</c:v>
                </c:pt>
                <c:pt idx="2">
                  <c:v>Б подгруппа</c:v>
                </c:pt>
              </c:strCache>
            </c:strRef>
          </c:cat>
          <c:val>
            <c:numRef>
              <c:f>Лист1!$D$2:$D$6</c:f>
              <c:numCache>
                <c:formatCode>General</c:formatCode>
                <c:ptCount val="5"/>
                <c:pt idx="0">
                  <c:v>37.300000000000004</c:v>
                </c:pt>
                <c:pt idx="1">
                  <c:v>13.7</c:v>
                </c:pt>
                <c:pt idx="2">
                  <c:v>0</c:v>
                </c:pt>
              </c:numCache>
            </c:numRef>
          </c:val>
          <c:extLst xmlns:c16r2="http://schemas.microsoft.com/office/drawing/2015/06/chart">
            <c:ext xmlns:c16="http://schemas.microsoft.com/office/drawing/2014/chart" uri="{C3380CC4-5D6E-409C-BE32-E72D297353CC}">
              <c16:uniqueId val="{00000002-9FB5-46E1-9F71-FB67D341D01E}"/>
            </c:ext>
          </c:extLst>
        </c:ser>
        <c:gapWidth val="219"/>
        <c:overlap val="-27"/>
        <c:axId val="101893248"/>
        <c:axId val="101894784"/>
      </c:barChart>
      <c:catAx>
        <c:axId val="101893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894784"/>
        <c:crosses val="autoZero"/>
        <c:auto val="1"/>
        <c:lblAlgn val="ctr"/>
        <c:lblOffset val="100"/>
      </c:catAx>
      <c:valAx>
        <c:axId val="1018947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893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гемоглобина</a:t>
            </a:r>
          </a:p>
        </c:rich>
      </c:tx>
      <c:spPr>
        <a:noFill/>
        <a:ln>
          <a:noFill/>
        </a:ln>
        <a:effectLst/>
      </c:spPr>
    </c:title>
    <c:plotArea>
      <c:layout/>
      <c:barChart>
        <c:barDir val="col"/>
        <c:grouping val="clustered"/>
        <c:ser>
          <c:idx val="0"/>
          <c:order val="0"/>
          <c:tx>
            <c:strRef>
              <c:f>Лист1!$B$1</c:f>
              <c:strCache>
                <c:ptCount val="1"/>
                <c:pt idx="0">
                  <c:v>до лечения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highlight>
                      <a:srgbClr val="FF00FF"/>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119-91 г/л</c:v>
                </c:pt>
                <c:pt idx="1">
                  <c:v>90-71 г/л</c:v>
                </c:pt>
                <c:pt idx="2">
                  <c:v>70 г/л и ниже</c:v>
                </c:pt>
              </c:strCache>
            </c:strRef>
          </c:cat>
          <c:val>
            <c:numRef>
              <c:f>Лист1!$B$2:$B$4</c:f>
              <c:numCache>
                <c:formatCode>0.00%</c:formatCode>
                <c:ptCount val="3"/>
                <c:pt idx="0">
                  <c:v>0.19400000000000001</c:v>
                </c:pt>
                <c:pt idx="1">
                  <c:v>0.37100000000000088</c:v>
                </c:pt>
                <c:pt idx="2">
                  <c:v>0.36300000000000032</c:v>
                </c:pt>
              </c:numCache>
            </c:numRef>
          </c:val>
          <c:extLst xmlns:c16r2="http://schemas.microsoft.com/office/drawing/2015/06/chart">
            <c:ext xmlns:c16="http://schemas.microsoft.com/office/drawing/2014/chart" uri="{C3380CC4-5D6E-409C-BE32-E72D297353CC}">
              <c16:uniqueId val="{00000000-30BB-4ABD-81CC-114F037F1331}"/>
            </c:ext>
          </c:extLst>
        </c:ser>
        <c:ser>
          <c:idx val="1"/>
          <c:order val="1"/>
          <c:tx>
            <c:strRef>
              <c:f>Лист1!$C$1</c:f>
              <c:strCache>
                <c:ptCount val="1"/>
                <c:pt idx="0">
                  <c:v>после лечения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highlight>
                      <a:srgbClr val="FF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119-91 г/л</c:v>
                </c:pt>
                <c:pt idx="1">
                  <c:v>90-71 г/л</c:v>
                </c:pt>
                <c:pt idx="2">
                  <c:v>70 г/л и ниже</c:v>
                </c:pt>
              </c:strCache>
            </c:strRef>
          </c:cat>
          <c:val>
            <c:numRef>
              <c:f>Лист1!$C$2:$C$4</c:f>
              <c:numCache>
                <c:formatCode>0.00%</c:formatCode>
                <c:ptCount val="3"/>
                <c:pt idx="0">
                  <c:v>0.55100000000000005</c:v>
                </c:pt>
                <c:pt idx="1">
                  <c:v>0.27600000000000002</c:v>
                </c:pt>
                <c:pt idx="2">
                  <c:v>0.13800000000000001</c:v>
                </c:pt>
              </c:numCache>
            </c:numRef>
          </c:val>
          <c:extLst xmlns:c16r2="http://schemas.microsoft.com/office/drawing/2015/06/chart">
            <c:ext xmlns:c16="http://schemas.microsoft.com/office/drawing/2014/chart" uri="{C3380CC4-5D6E-409C-BE32-E72D297353CC}">
              <c16:uniqueId val="{00000001-30BB-4ABD-81CC-114F037F1331}"/>
            </c:ext>
          </c:extLst>
        </c:ser>
        <c:axId val="102051200"/>
        <c:axId val="102093952"/>
      </c:barChart>
      <c:catAx>
        <c:axId val="102051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093952"/>
        <c:crosses val="autoZero"/>
        <c:auto val="1"/>
        <c:lblAlgn val="ctr"/>
        <c:lblOffset val="100"/>
      </c:catAx>
      <c:valAx>
        <c:axId val="10209395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051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гемоглобина г/л</a:t>
            </a:r>
          </a:p>
        </c:rich>
      </c:tx>
      <c:spPr>
        <a:noFill/>
        <a:ln>
          <a:noFill/>
        </a:ln>
        <a:effectLst/>
      </c:spPr>
    </c:title>
    <c:plotArea>
      <c:layout>
        <c:manualLayout>
          <c:layoutTarget val="inner"/>
          <c:xMode val="edge"/>
          <c:yMode val="edge"/>
          <c:x val="0.27830818022747433"/>
          <c:y val="2.0198412698412702E-2"/>
          <c:w val="0.68039552347623211"/>
          <c:h val="0.79697069116360464"/>
        </c:manualLayout>
      </c:layout>
      <c:barChart>
        <c:barDir val="bar"/>
        <c:grouping val="clustered"/>
        <c:ser>
          <c:idx val="0"/>
          <c:order val="0"/>
          <c:tx>
            <c:strRef>
              <c:f>Лист1!$B$1</c:f>
              <c:strCache>
                <c:ptCount val="1"/>
                <c:pt idx="0">
                  <c:v>IgGκ</c:v>
                </c:pt>
              </c:strCache>
            </c:strRef>
          </c:tx>
          <c:spPr>
            <a:solidFill>
              <a:schemeClr val="accent1"/>
            </a:solidFill>
            <a:ln>
              <a:noFill/>
            </a:ln>
            <a:effectLst/>
          </c:spPr>
          <c:dLbls>
            <c:dLbl>
              <c:idx val="1"/>
              <c:layout>
                <c:manualLayout>
                  <c:x val="-6.9444444444446713E-3"/>
                  <c:y val="5.15873015873015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58-4684-98F3-6249097906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C0C0C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Лист1!$B$2:$B$5</c:f>
              <c:numCache>
                <c:formatCode>General</c:formatCode>
                <c:ptCount val="4"/>
                <c:pt idx="0">
                  <c:v>83.3</c:v>
                </c:pt>
                <c:pt idx="1">
                  <c:v>99.7</c:v>
                </c:pt>
                <c:pt idx="2">
                  <c:v>111.1</c:v>
                </c:pt>
              </c:numCache>
            </c:numRef>
          </c:val>
          <c:extLst xmlns:c16r2="http://schemas.microsoft.com/office/drawing/2015/06/chart">
            <c:ext xmlns:c16="http://schemas.microsoft.com/office/drawing/2014/chart" uri="{C3380CC4-5D6E-409C-BE32-E72D297353CC}">
              <c16:uniqueId val="{00000001-1F58-4684-98F3-624909790655}"/>
            </c:ext>
          </c:extLst>
        </c:ser>
        <c:ser>
          <c:idx val="1"/>
          <c:order val="1"/>
          <c:tx>
            <c:strRef>
              <c:f>Лист1!$C$1</c:f>
              <c:strCache>
                <c:ptCount val="1"/>
                <c:pt idx="0">
                  <c:v>IgGλ</c:v>
                </c:pt>
              </c:strCache>
            </c:strRef>
          </c:tx>
          <c:spPr>
            <a:solidFill>
              <a:schemeClr val="accent2"/>
            </a:solidFill>
            <a:ln>
              <a:noFill/>
            </a:ln>
            <a:effectLst/>
          </c:spPr>
          <c:dLbls>
            <c:dLbl>
              <c:idx val="1"/>
              <c:layout>
                <c:manualLayout>
                  <c:x val="4.3981481481481483E-2"/>
                  <c:y val="1.19047619047619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58-4684-98F3-6249097906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FF00FF"/>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Лист1!$C$2:$C$5</c:f>
              <c:numCache>
                <c:formatCode>General</c:formatCode>
                <c:ptCount val="4"/>
                <c:pt idx="0">
                  <c:v>73.2</c:v>
                </c:pt>
                <c:pt idx="1">
                  <c:v>98.9</c:v>
                </c:pt>
                <c:pt idx="2">
                  <c:v>95.9</c:v>
                </c:pt>
              </c:numCache>
            </c:numRef>
          </c:val>
          <c:extLst xmlns:c16r2="http://schemas.microsoft.com/office/drawing/2015/06/chart">
            <c:ext xmlns:c16="http://schemas.microsoft.com/office/drawing/2014/chart" uri="{C3380CC4-5D6E-409C-BE32-E72D297353CC}">
              <c16:uniqueId val="{00000003-1F58-4684-98F3-624909790655}"/>
            </c:ext>
          </c:extLst>
        </c:ser>
        <c:ser>
          <c:idx val="2"/>
          <c:order val="2"/>
          <c:tx>
            <c:strRef>
              <c:f>Лист1!$D$1</c:f>
              <c:strCache>
                <c:ptCount val="1"/>
                <c:pt idx="0">
                  <c:v>IgАκ</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FF"/>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Лист1!$D$2:$D$5</c:f>
              <c:numCache>
                <c:formatCode>General</c:formatCode>
                <c:ptCount val="4"/>
                <c:pt idx="0">
                  <c:v>80.5</c:v>
                </c:pt>
                <c:pt idx="1">
                  <c:v>96.6</c:v>
                </c:pt>
                <c:pt idx="2">
                  <c:v>113</c:v>
                </c:pt>
              </c:numCache>
            </c:numRef>
          </c:val>
          <c:extLst xmlns:c16r2="http://schemas.microsoft.com/office/drawing/2015/06/chart">
            <c:ext xmlns:c16="http://schemas.microsoft.com/office/drawing/2014/chart" uri="{C3380CC4-5D6E-409C-BE32-E72D297353CC}">
              <c16:uniqueId val="{00000004-1F58-4684-98F3-624909790655}"/>
            </c:ext>
          </c:extLst>
        </c:ser>
        <c:ser>
          <c:idx val="3"/>
          <c:order val="3"/>
          <c:tx>
            <c:strRef>
              <c:f>Лист1!$E$1</c:f>
              <c:strCache>
                <c:ptCount val="1"/>
                <c:pt idx="0">
                  <c:v>IgАλ</c:v>
                </c:pt>
              </c:strCache>
            </c:strRef>
          </c:tx>
          <c:spPr>
            <a:solidFill>
              <a:schemeClr val="accent4"/>
            </a:solidFill>
            <a:ln>
              <a:noFill/>
            </a:ln>
            <a:effectLst/>
          </c:spPr>
          <c:dLbls>
            <c:dLbl>
              <c:idx val="2"/>
              <c:layout>
                <c:manualLayout>
                  <c:x val="-4.6296296296296589E-3"/>
                  <c:y val="-4.76190476190476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58-4684-98F3-6249097906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Лист1!$E$2:$E$5</c:f>
              <c:numCache>
                <c:formatCode>General</c:formatCode>
                <c:ptCount val="4"/>
                <c:pt idx="0">
                  <c:v>75</c:v>
                </c:pt>
                <c:pt idx="1">
                  <c:v>92.7</c:v>
                </c:pt>
                <c:pt idx="2">
                  <c:v>112.5</c:v>
                </c:pt>
              </c:numCache>
            </c:numRef>
          </c:val>
          <c:extLst xmlns:c16r2="http://schemas.microsoft.com/office/drawing/2015/06/chart">
            <c:ext xmlns:c16="http://schemas.microsoft.com/office/drawing/2014/chart" uri="{C3380CC4-5D6E-409C-BE32-E72D297353CC}">
              <c16:uniqueId val="{00000006-1F58-4684-98F3-624909790655}"/>
            </c:ext>
          </c:extLst>
        </c:ser>
        <c:ser>
          <c:idx val="4"/>
          <c:order val="4"/>
          <c:tx>
            <c:strRef>
              <c:f>Лист1!$F$1</c:f>
              <c:strCache>
                <c:ptCount val="1"/>
                <c:pt idx="0">
                  <c:v>редкие варианты</c:v>
                </c:pt>
              </c:strCache>
            </c:strRef>
          </c:tx>
          <c:spPr>
            <a:solidFill>
              <a:schemeClr val="accent5"/>
            </a:solidFill>
            <a:ln>
              <a:noFill/>
            </a:ln>
            <a:effectLst/>
          </c:spPr>
          <c:dLbls>
            <c:dLbl>
              <c:idx val="1"/>
              <c:layout>
                <c:manualLayout>
                  <c:x val="3.4722222222222224E-2"/>
                  <c:y val="3.96825396825389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58-4684-98F3-624909790655}"/>
                </c:ext>
              </c:extLst>
            </c:dLbl>
            <c:dLbl>
              <c:idx val="2"/>
              <c:layout>
                <c:manualLayout>
                  <c:x val="-2.3148148148148147E-2"/>
                  <c:y val="-7.5396825396825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58-4684-98F3-6249097906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FF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Лист1!$F$2:$F$5</c:f>
              <c:numCache>
                <c:formatCode>General</c:formatCode>
                <c:ptCount val="4"/>
                <c:pt idx="0">
                  <c:v>82.9</c:v>
                </c:pt>
                <c:pt idx="1">
                  <c:v>105.9</c:v>
                </c:pt>
                <c:pt idx="2">
                  <c:v>106.5</c:v>
                </c:pt>
              </c:numCache>
            </c:numRef>
          </c:val>
          <c:extLst xmlns:c16r2="http://schemas.microsoft.com/office/drawing/2015/06/chart">
            <c:ext xmlns:c16="http://schemas.microsoft.com/office/drawing/2014/chart" uri="{C3380CC4-5D6E-409C-BE32-E72D297353CC}">
              <c16:uniqueId val="{00000009-1F58-4684-98F3-624909790655}"/>
            </c:ext>
          </c:extLst>
        </c:ser>
        <c:gapWidth val="182"/>
        <c:axId val="102160256"/>
        <c:axId val="102161792"/>
      </c:barChart>
      <c:catAx>
        <c:axId val="1021602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161792"/>
        <c:crosses val="autoZero"/>
        <c:auto val="1"/>
        <c:lblAlgn val="ctr"/>
        <c:lblOffset val="100"/>
      </c:catAx>
      <c:valAx>
        <c:axId val="1021617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160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эритроцитов Х 10</a:t>
            </a:r>
            <a:r>
              <a:rPr lang="ru-RU" baseline="30000"/>
              <a:t>12</a:t>
            </a:r>
            <a:r>
              <a:rPr lang="ru-RU" baseline="0"/>
              <a:t>/л</a:t>
            </a:r>
            <a:endParaRPr lang="ru-RU"/>
          </a:p>
        </c:rich>
      </c:tx>
      <c:spPr>
        <a:noFill/>
        <a:ln>
          <a:noFill/>
        </a:ln>
        <a:effectLst/>
      </c:spPr>
    </c:title>
    <c:plotArea>
      <c:layout>
        <c:manualLayout>
          <c:layoutTarget val="inner"/>
          <c:xMode val="edge"/>
          <c:yMode val="edge"/>
          <c:x val="9.5437809857101194E-2"/>
          <c:y val="0.17015591423022092"/>
          <c:w val="0.87148931904345295"/>
          <c:h val="0.64933909609464013"/>
        </c:manualLayout>
      </c:layout>
      <c:barChart>
        <c:barDir val="col"/>
        <c:grouping val="clustered"/>
        <c:ser>
          <c:idx val="0"/>
          <c:order val="0"/>
          <c:tx>
            <c:strRef>
              <c:f>Лист1!$B$1</c:f>
              <c:strCache>
                <c:ptCount val="1"/>
                <c:pt idx="0">
                  <c:v>IgGκ</c:v>
                </c:pt>
              </c:strCache>
            </c:strRef>
          </c:tx>
          <c:spPr>
            <a:solidFill>
              <a:schemeClr val="accent1"/>
            </a:solidFill>
            <a:ln>
              <a:noFill/>
            </a:ln>
            <a:effectLst/>
          </c:spPr>
          <c:dLbls>
            <c:dLbl>
              <c:idx val="1"/>
              <c:layout>
                <c:manualLayout>
                  <c:x val="-6.9444444444446713E-3"/>
                  <c:y val="5.15873015873015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F5-44E2-B4CA-79DFC4420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C0C0C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Лист1!$B$2:$B$5</c:f>
              <c:numCache>
                <c:formatCode>General</c:formatCode>
                <c:ptCount val="4"/>
                <c:pt idx="0">
                  <c:v>3</c:v>
                </c:pt>
                <c:pt idx="1">
                  <c:v>3.3</c:v>
                </c:pt>
                <c:pt idx="2">
                  <c:v>3.9</c:v>
                </c:pt>
              </c:numCache>
            </c:numRef>
          </c:val>
          <c:extLst xmlns:c16r2="http://schemas.microsoft.com/office/drawing/2015/06/chart">
            <c:ext xmlns:c16="http://schemas.microsoft.com/office/drawing/2014/chart" uri="{C3380CC4-5D6E-409C-BE32-E72D297353CC}">
              <c16:uniqueId val="{00000001-1FF5-44E2-B4CA-79DFC4420706}"/>
            </c:ext>
          </c:extLst>
        </c:ser>
        <c:ser>
          <c:idx val="1"/>
          <c:order val="1"/>
          <c:tx>
            <c:strRef>
              <c:f>Лист1!$C$1</c:f>
              <c:strCache>
                <c:ptCount val="1"/>
                <c:pt idx="0">
                  <c:v>IgGλ</c:v>
                </c:pt>
              </c:strCache>
            </c:strRef>
          </c:tx>
          <c:spPr>
            <a:solidFill>
              <a:schemeClr val="accent2"/>
            </a:solidFill>
            <a:ln>
              <a:noFill/>
            </a:ln>
            <a:effectLst/>
          </c:spPr>
          <c:dLbls>
            <c:dLbl>
              <c:idx val="1"/>
              <c:layout>
                <c:manualLayout>
                  <c:x val="-2.0833333333333412E-2"/>
                  <c:y val="-5.78101614681802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F5-44E2-B4CA-79DFC4420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FF00FF"/>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Лист1!$C$2:$C$5</c:f>
              <c:numCache>
                <c:formatCode>General</c:formatCode>
                <c:ptCount val="4"/>
                <c:pt idx="0">
                  <c:v>2.7</c:v>
                </c:pt>
                <c:pt idx="1">
                  <c:v>3.5</c:v>
                </c:pt>
                <c:pt idx="2">
                  <c:v>3.3</c:v>
                </c:pt>
              </c:numCache>
            </c:numRef>
          </c:val>
          <c:extLst xmlns:c16r2="http://schemas.microsoft.com/office/drawing/2015/06/chart">
            <c:ext xmlns:c16="http://schemas.microsoft.com/office/drawing/2014/chart" uri="{C3380CC4-5D6E-409C-BE32-E72D297353CC}">
              <c16:uniqueId val="{00000003-1FF5-44E2-B4CA-79DFC4420706}"/>
            </c:ext>
          </c:extLst>
        </c:ser>
        <c:ser>
          <c:idx val="2"/>
          <c:order val="2"/>
          <c:tx>
            <c:strRef>
              <c:f>Лист1!$D$1</c:f>
              <c:strCache>
                <c:ptCount val="1"/>
                <c:pt idx="0">
                  <c:v>IgАκ</c:v>
                </c:pt>
              </c:strCache>
            </c:strRef>
          </c:tx>
          <c:spPr>
            <a:solidFill>
              <a:schemeClr val="accent3"/>
            </a:solidFill>
            <a:ln>
              <a:noFill/>
            </a:ln>
            <a:effectLst/>
          </c:spPr>
          <c:dLbls>
            <c:dLbl>
              <c:idx val="1"/>
              <c:layout>
                <c:manualLayout>
                  <c:x val="0"/>
                  <c:y val="-3.69079352060695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F5-44E2-B4CA-79DFC4420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FF"/>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Лист1!$D$2:$D$5</c:f>
              <c:numCache>
                <c:formatCode>General</c:formatCode>
                <c:ptCount val="4"/>
                <c:pt idx="0">
                  <c:v>3.2</c:v>
                </c:pt>
                <c:pt idx="1">
                  <c:v>3.6</c:v>
                </c:pt>
                <c:pt idx="2">
                  <c:v>3.8</c:v>
                </c:pt>
              </c:numCache>
            </c:numRef>
          </c:val>
          <c:extLst xmlns:c16r2="http://schemas.microsoft.com/office/drawing/2015/06/chart">
            <c:ext xmlns:c16="http://schemas.microsoft.com/office/drawing/2014/chart" uri="{C3380CC4-5D6E-409C-BE32-E72D297353CC}">
              <c16:uniqueId val="{00000005-1FF5-44E2-B4CA-79DFC4420706}"/>
            </c:ext>
          </c:extLst>
        </c:ser>
        <c:ser>
          <c:idx val="3"/>
          <c:order val="3"/>
          <c:tx>
            <c:strRef>
              <c:f>Лист1!$E$1</c:f>
              <c:strCache>
                <c:ptCount val="1"/>
                <c:pt idx="0">
                  <c:v>IgАλ</c:v>
                </c:pt>
              </c:strCache>
            </c:strRef>
          </c:tx>
          <c:spPr>
            <a:solidFill>
              <a:schemeClr val="accent4"/>
            </a:solidFill>
            <a:ln>
              <a:noFill/>
            </a:ln>
            <a:effectLst/>
          </c:spPr>
          <c:dLbls>
            <c:dLbl>
              <c:idx val="2"/>
              <c:layout>
                <c:manualLayout>
                  <c:x val="-4.6296296296296589E-3"/>
                  <c:y val="-4.76190476190476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F5-44E2-B4CA-79DFC4420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Лист1!$E$2:$E$5</c:f>
              <c:numCache>
                <c:formatCode>General</c:formatCode>
                <c:ptCount val="4"/>
                <c:pt idx="0">
                  <c:v>2.7</c:v>
                </c:pt>
                <c:pt idx="1">
                  <c:v>3.3</c:v>
                </c:pt>
                <c:pt idx="2">
                  <c:v>4.0999999999999996</c:v>
                </c:pt>
              </c:numCache>
            </c:numRef>
          </c:val>
          <c:extLst xmlns:c16r2="http://schemas.microsoft.com/office/drawing/2015/06/chart">
            <c:ext xmlns:c16="http://schemas.microsoft.com/office/drawing/2014/chart" uri="{C3380CC4-5D6E-409C-BE32-E72D297353CC}">
              <c16:uniqueId val="{00000007-1FF5-44E2-B4CA-79DFC4420706}"/>
            </c:ext>
          </c:extLst>
        </c:ser>
        <c:ser>
          <c:idx val="4"/>
          <c:order val="4"/>
          <c:tx>
            <c:strRef>
              <c:f>Лист1!$F$1</c:f>
              <c:strCache>
                <c:ptCount val="1"/>
                <c:pt idx="0">
                  <c:v>редкие варианты</c:v>
                </c:pt>
              </c:strCache>
            </c:strRef>
          </c:tx>
          <c:spPr>
            <a:solidFill>
              <a:schemeClr val="accent5"/>
            </a:solidFill>
            <a:ln>
              <a:noFill/>
            </a:ln>
            <a:effectLst/>
          </c:spPr>
          <c:dLbls>
            <c:dLbl>
              <c:idx val="1"/>
              <c:layout>
                <c:manualLayout>
                  <c:x val="3.4722222222222224E-2"/>
                  <c:y val="3.96825396825389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F5-44E2-B4CA-79DFC4420706}"/>
                </c:ext>
              </c:extLst>
            </c:dLbl>
            <c:dLbl>
              <c:idx val="2"/>
              <c:layout>
                <c:manualLayout>
                  <c:x val="2.3148148148148147E-2"/>
                  <c:y val="-7.53968087390757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F5-44E2-B4CA-79DFC4420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FF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Лист1!$F$2:$F$5</c:f>
              <c:numCache>
                <c:formatCode>General</c:formatCode>
                <c:ptCount val="4"/>
                <c:pt idx="0">
                  <c:v>3.1</c:v>
                </c:pt>
                <c:pt idx="1">
                  <c:v>3.5</c:v>
                </c:pt>
                <c:pt idx="2">
                  <c:v>3.63</c:v>
                </c:pt>
              </c:numCache>
            </c:numRef>
          </c:val>
          <c:extLst xmlns:c16r2="http://schemas.microsoft.com/office/drawing/2015/06/chart">
            <c:ext xmlns:c16="http://schemas.microsoft.com/office/drawing/2014/chart" uri="{C3380CC4-5D6E-409C-BE32-E72D297353CC}">
              <c16:uniqueId val="{0000000A-1FF5-44E2-B4CA-79DFC4420706}"/>
            </c:ext>
          </c:extLst>
        </c:ser>
        <c:gapWidth val="182"/>
        <c:axId val="103502976"/>
        <c:axId val="103504512"/>
      </c:barChart>
      <c:catAx>
        <c:axId val="103502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504512"/>
        <c:crosses val="autoZero"/>
        <c:auto val="1"/>
        <c:lblAlgn val="ctr"/>
        <c:lblOffset val="100"/>
      </c:catAx>
      <c:valAx>
        <c:axId val="1035045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502976"/>
        <c:crosses val="autoZero"/>
        <c:crossBetween val="between"/>
      </c:valAx>
      <c:spPr>
        <a:noFill/>
        <a:ln>
          <a:noFill/>
        </a:ln>
        <a:effectLst/>
      </c:spPr>
    </c:plotArea>
    <c:legend>
      <c:legendPos val="b"/>
      <c:layout>
        <c:manualLayout>
          <c:xMode val="edge"/>
          <c:yMode val="edge"/>
          <c:x val="0.24951698745990225"/>
          <c:y val="0.90701171499903976"/>
          <c:w val="0.50096602508019827"/>
          <c:h val="9.29882850009601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СОЭ</a:t>
            </a:r>
          </a:p>
        </c:rich>
      </c:tx>
      <c:spPr>
        <a:noFill/>
        <a:ln>
          <a:noFill/>
        </a:ln>
        <a:effectLst/>
      </c:spPr>
    </c:title>
    <c:plotArea>
      <c:layout>
        <c:manualLayout>
          <c:layoutTarget val="inner"/>
          <c:xMode val="edge"/>
          <c:yMode val="edge"/>
          <c:x val="8.0947069116360598E-2"/>
          <c:y val="0.14321428571428688"/>
          <c:w val="0.91905293088363949"/>
          <c:h val="0.62639545056868606"/>
        </c:manualLayout>
      </c:layout>
      <c:barChart>
        <c:barDir val="col"/>
        <c:grouping val="clustered"/>
        <c:ser>
          <c:idx val="0"/>
          <c:order val="0"/>
          <c:tx>
            <c:strRef>
              <c:f>Лист1!$B$1</c:f>
              <c:strCache>
                <c:ptCount val="1"/>
                <c:pt idx="0">
                  <c:v>IgGκ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Лист1!$B$2:$B$5</c:f>
              <c:numCache>
                <c:formatCode>General</c:formatCode>
                <c:ptCount val="4"/>
                <c:pt idx="0">
                  <c:v>47.4</c:v>
                </c:pt>
                <c:pt idx="1">
                  <c:v>20.2</c:v>
                </c:pt>
                <c:pt idx="2">
                  <c:v>11.7</c:v>
                </c:pt>
              </c:numCache>
            </c:numRef>
          </c:val>
          <c:extLst xmlns:c16r2="http://schemas.microsoft.com/office/drawing/2015/06/chart">
            <c:ext xmlns:c16="http://schemas.microsoft.com/office/drawing/2014/chart" uri="{C3380CC4-5D6E-409C-BE32-E72D297353CC}">
              <c16:uniqueId val="{00000000-D57D-4840-BE0B-1EE0E5C8DBE8}"/>
            </c:ext>
          </c:extLst>
        </c:ser>
        <c:ser>
          <c:idx val="1"/>
          <c:order val="1"/>
          <c:tx>
            <c:strRef>
              <c:f>Лист1!$C$1</c:f>
              <c:strCache>
                <c:ptCount val="1"/>
                <c:pt idx="0">
                  <c:v>IgGλ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Лист1!$C$2:$C$5</c:f>
              <c:numCache>
                <c:formatCode>General</c:formatCode>
                <c:ptCount val="4"/>
                <c:pt idx="0">
                  <c:v>48.2</c:v>
                </c:pt>
                <c:pt idx="1">
                  <c:v>23.8</c:v>
                </c:pt>
                <c:pt idx="2">
                  <c:v>33</c:v>
                </c:pt>
              </c:numCache>
            </c:numRef>
          </c:val>
          <c:extLst xmlns:c16r2="http://schemas.microsoft.com/office/drawing/2015/06/chart">
            <c:ext xmlns:c16="http://schemas.microsoft.com/office/drawing/2014/chart" uri="{C3380CC4-5D6E-409C-BE32-E72D297353CC}">
              <c16:uniqueId val="{00000001-D57D-4840-BE0B-1EE0E5C8DBE8}"/>
            </c:ext>
          </c:extLst>
        </c:ser>
        <c:ser>
          <c:idx val="2"/>
          <c:order val="2"/>
          <c:tx>
            <c:strRef>
              <c:f>Лист1!$D$1</c:f>
              <c:strCache>
                <c:ptCount val="1"/>
                <c:pt idx="0">
                  <c:v>IgАκ</c:v>
                </c:pt>
              </c:strCache>
            </c:strRef>
          </c:tx>
          <c:spPr>
            <a:solidFill>
              <a:schemeClr val="accent3"/>
            </a:solidFill>
            <a:ln>
              <a:noFill/>
            </a:ln>
            <a:effectLst/>
          </c:spPr>
          <c:dLbls>
            <c:dLbl>
              <c:idx val="0"/>
              <c:layout>
                <c:manualLayout>
                  <c:x val="-1.1574074074074073E-2"/>
                  <c:y val="1.19047619047619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7D-4840-BE0B-1EE0E5C8DBE8}"/>
                </c:ext>
              </c:extLst>
            </c:dLbl>
            <c:dLbl>
              <c:idx val="2"/>
              <c:layout>
                <c:manualLayout>
                  <c:x val="0"/>
                  <c:y val="-1.19047619047619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7D-4840-BE0B-1EE0E5C8DB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Лист1!$D$2:$D$5</c:f>
              <c:numCache>
                <c:formatCode>General</c:formatCode>
                <c:ptCount val="4"/>
                <c:pt idx="0">
                  <c:v>62.5</c:v>
                </c:pt>
                <c:pt idx="1">
                  <c:v>56</c:v>
                </c:pt>
                <c:pt idx="2">
                  <c:v>48</c:v>
                </c:pt>
              </c:numCache>
            </c:numRef>
          </c:val>
          <c:extLst xmlns:c16r2="http://schemas.microsoft.com/office/drawing/2015/06/chart">
            <c:ext xmlns:c16="http://schemas.microsoft.com/office/drawing/2014/chart" uri="{C3380CC4-5D6E-409C-BE32-E72D297353CC}">
              <c16:uniqueId val="{00000004-D57D-4840-BE0B-1EE0E5C8DBE8}"/>
            </c:ext>
          </c:extLst>
        </c:ser>
        <c:ser>
          <c:idx val="3"/>
          <c:order val="3"/>
          <c:tx>
            <c:strRef>
              <c:f>Лист1!$E$1</c:f>
              <c:strCache>
                <c:ptCount val="1"/>
                <c:pt idx="0">
                  <c:v>IgАλ</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Лист1!$E$2:$E$5</c:f>
              <c:numCache>
                <c:formatCode>General</c:formatCode>
                <c:ptCount val="4"/>
                <c:pt idx="0">
                  <c:v>54.2</c:v>
                </c:pt>
                <c:pt idx="1">
                  <c:v>39.1</c:v>
                </c:pt>
                <c:pt idx="2">
                  <c:v>12.5</c:v>
                </c:pt>
              </c:numCache>
            </c:numRef>
          </c:val>
          <c:extLst xmlns:c16r2="http://schemas.microsoft.com/office/drawing/2015/06/chart">
            <c:ext xmlns:c16="http://schemas.microsoft.com/office/drawing/2014/chart" uri="{C3380CC4-5D6E-409C-BE32-E72D297353CC}">
              <c16:uniqueId val="{00000005-D57D-4840-BE0B-1EE0E5C8DBE8}"/>
            </c:ext>
          </c:extLst>
        </c:ser>
        <c:ser>
          <c:idx val="4"/>
          <c:order val="4"/>
          <c:tx>
            <c:strRef>
              <c:f>Лист1!$F$1</c:f>
              <c:strCache>
                <c:ptCount val="1"/>
                <c:pt idx="0">
                  <c:v>редкие варианты</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Лист1!$F$2:$F$5</c:f>
              <c:numCache>
                <c:formatCode>General</c:formatCode>
                <c:ptCount val="4"/>
                <c:pt idx="0">
                  <c:v>35.6</c:v>
                </c:pt>
                <c:pt idx="1">
                  <c:v>22.1</c:v>
                </c:pt>
                <c:pt idx="2">
                  <c:v>36.5</c:v>
                </c:pt>
              </c:numCache>
            </c:numRef>
          </c:val>
          <c:extLst xmlns:c16r2="http://schemas.microsoft.com/office/drawing/2015/06/chart">
            <c:ext xmlns:c16="http://schemas.microsoft.com/office/drawing/2014/chart" uri="{C3380CC4-5D6E-409C-BE32-E72D297353CC}">
              <c16:uniqueId val="{00000006-D57D-4840-BE0B-1EE0E5C8DBE8}"/>
            </c:ext>
          </c:extLst>
        </c:ser>
        <c:ser>
          <c:idx val="5"/>
          <c:order val="5"/>
          <c:tx>
            <c:strRef>
              <c:f>Лист1!$G$1</c:f>
              <c:strCache>
                <c:ptCount val="1"/>
                <c:pt idx="0">
                  <c:v>Столбец1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 лечения</c:v>
                </c:pt>
                <c:pt idx="1">
                  <c:v>А подгруппа после лечения</c:v>
                </c:pt>
                <c:pt idx="2">
                  <c:v>Б подгруппа после лечения</c:v>
                </c:pt>
              </c:strCache>
            </c:strRef>
          </c:cat>
          <c:val>
            <c:numRef>
              <c:f>Лист1!$G$2:$G$5</c:f>
              <c:numCache>
                <c:formatCode>General</c:formatCode>
                <c:ptCount val="4"/>
                <c:pt idx="2">
                  <c:v>24.6</c:v>
                </c:pt>
              </c:numCache>
            </c:numRef>
          </c:val>
          <c:extLst xmlns:c16r2="http://schemas.microsoft.com/office/drawing/2015/06/chart">
            <c:ext xmlns:c16="http://schemas.microsoft.com/office/drawing/2014/chart" uri="{C3380CC4-5D6E-409C-BE32-E72D297353CC}">
              <c16:uniqueId val="{00000007-D57D-4840-BE0B-1EE0E5C8DBE8}"/>
            </c:ext>
          </c:extLst>
        </c:ser>
        <c:axId val="104129280"/>
        <c:axId val="104130816"/>
      </c:barChart>
      <c:catAx>
        <c:axId val="104129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130816"/>
        <c:crosses val="autoZero"/>
        <c:auto val="1"/>
        <c:lblAlgn val="ctr"/>
        <c:lblOffset val="100"/>
      </c:catAx>
      <c:valAx>
        <c:axId val="104130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129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А подгруппа</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IgGκ</c:v>
                </c:pt>
                <c:pt idx="1">
                  <c:v>IgGλ</c:v>
                </c:pt>
                <c:pt idx="2">
                  <c:v>IgАκ</c:v>
                </c:pt>
                <c:pt idx="3">
                  <c:v>IgАλ</c:v>
                </c:pt>
                <c:pt idx="4">
                  <c:v>редкие варианты</c:v>
                </c:pt>
              </c:strCache>
            </c:strRef>
          </c:cat>
          <c:val>
            <c:numRef>
              <c:f>Лист1!$B$2:$B$6</c:f>
              <c:numCache>
                <c:formatCode>0.00%</c:formatCode>
                <c:ptCount val="5"/>
                <c:pt idx="0">
                  <c:v>6.5000000000000002E-2</c:v>
                </c:pt>
                <c:pt idx="1">
                  <c:v>7.9000000000000348E-2</c:v>
                </c:pt>
                <c:pt idx="2">
                  <c:v>0.19900000000000001</c:v>
                </c:pt>
                <c:pt idx="3">
                  <c:v>0.26400000000000001</c:v>
                </c:pt>
                <c:pt idx="4">
                  <c:v>9.0000000000000024E-2</c:v>
                </c:pt>
              </c:numCache>
            </c:numRef>
          </c:val>
          <c:extLst xmlns:c16r2="http://schemas.microsoft.com/office/drawing/2015/06/chart">
            <c:ext xmlns:c16="http://schemas.microsoft.com/office/drawing/2014/chart" uri="{C3380CC4-5D6E-409C-BE32-E72D297353CC}">
              <c16:uniqueId val="{00000000-C083-46C2-9E3A-F8DC9ED73456}"/>
            </c:ext>
          </c:extLst>
        </c:ser>
        <c:ser>
          <c:idx val="1"/>
          <c:order val="1"/>
          <c:tx>
            <c:strRef>
              <c:f>Лист1!$C$1</c:f>
              <c:strCache>
                <c:ptCount val="1"/>
                <c:pt idx="0">
                  <c:v>Б подгруппа</c:v>
                </c:pt>
              </c:strCache>
            </c:strRef>
          </c:tx>
          <c:spPr>
            <a:solidFill>
              <a:schemeClr val="accent6"/>
            </a:solidFill>
            <a:ln>
              <a:noFill/>
            </a:ln>
            <a:effectLst/>
          </c:spPr>
          <c:dLbls>
            <c:dLbl>
              <c:idx val="2"/>
              <c:layout>
                <c:manualLayout>
                  <c:x val="2.3148148148148147E-3"/>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83-46C2-9E3A-F8DC9ED73456}"/>
                </c:ext>
              </c:extLst>
            </c:dLbl>
            <c:dLbl>
              <c:idx val="4"/>
              <c:layout>
                <c:manualLayout>
                  <c:x val="1.8518518518518361E-2"/>
                  <c:y val="-5.95238095238095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83-46C2-9E3A-F8DC9ED734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IgGκ</c:v>
                </c:pt>
                <c:pt idx="1">
                  <c:v>IgGλ</c:v>
                </c:pt>
                <c:pt idx="2">
                  <c:v>IgАκ</c:v>
                </c:pt>
                <c:pt idx="3">
                  <c:v>IgАλ</c:v>
                </c:pt>
                <c:pt idx="4">
                  <c:v>редкие варианты</c:v>
                </c:pt>
              </c:strCache>
            </c:strRef>
          </c:cat>
          <c:val>
            <c:numRef>
              <c:f>Лист1!$C$2:$C$6</c:f>
              <c:numCache>
                <c:formatCode>0.00%</c:formatCode>
                <c:ptCount val="5"/>
                <c:pt idx="0">
                  <c:v>1.2E-2</c:v>
                </c:pt>
                <c:pt idx="1">
                  <c:v>2.3E-2</c:v>
                </c:pt>
                <c:pt idx="2" formatCode="General">
                  <c:v>0</c:v>
                </c:pt>
                <c:pt idx="3">
                  <c:v>1.0000000000000005E-2</c:v>
                </c:pt>
                <c:pt idx="4">
                  <c:v>5.0000000000000034E-4</c:v>
                </c:pt>
              </c:numCache>
            </c:numRef>
          </c:val>
          <c:extLst xmlns:c16r2="http://schemas.microsoft.com/office/drawing/2015/06/chart">
            <c:ext xmlns:c16="http://schemas.microsoft.com/office/drawing/2014/chart" uri="{C3380CC4-5D6E-409C-BE32-E72D297353CC}">
              <c16:uniqueId val="{00000003-C083-46C2-9E3A-F8DC9ED73456}"/>
            </c:ext>
          </c:extLst>
        </c:ser>
        <c:ser>
          <c:idx val="2"/>
          <c:order val="2"/>
          <c:tx>
            <c:strRef>
              <c:f>Лист1!$D$1</c:f>
              <c:strCache>
                <c:ptCount val="1"/>
                <c:pt idx="0">
                  <c:v>Столбец1</c:v>
                </c:pt>
              </c:strCache>
            </c:strRef>
          </c:tx>
          <c:spPr>
            <a:solidFill>
              <a:schemeClr val="accent3"/>
            </a:solidFill>
            <a:ln>
              <a:noFill/>
            </a:ln>
            <a:effectLst/>
          </c:spPr>
          <c:cat>
            <c:strRef>
              <c:f>Лист1!$A$2:$A$6</c:f>
              <c:strCache>
                <c:ptCount val="5"/>
                <c:pt idx="0">
                  <c:v>IgGκ</c:v>
                </c:pt>
                <c:pt idx="1">
                  <c:v>IgGλ</c:v>
                </c:pt>
                <c:pt idx="2">
                  <c:v>IgАκ</c:v>
                </c:pt>
                <c:pt idx="3">
                  <c:v>IgАλ</c:v>
                </c:pt>
                <c:pt idx="4">
                  <c:v>редкие варианты</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4-C083-46C2-9E3A-F8DC9ED73456}"/>
            </c:ext>
          </c:extLst>
        </c:ser>
        <c:gapWidth val="219"/>
        <c:overlap val="-27"/>
        <c:axId val="104350080"/>
        <c:axId val="104351616"/>
      </c:barChart>
      <c:catAx>
        <c:axId val="104350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351616"/>
        <c:crosses val="autoZero"/>
        <c:auto val="1"/>
        <c:lblAlgn val="ctr"/>
        <c:lblOffset val="100"/>
      </c:catAx>
      <c:valAx>
        <c:axId val="10435161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350080"/>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a:t>
            </a:r>
            <a:r>
              <a:rPr lang="ru-RU" baseline="0"/>
              <a:t> общего белка</a:t>
            </a:r>
            <a:endParaRPr lang="ru-RU"/>
          </a:p>
        </c:rich>
      </c:tx>
      <c:spPr>
        <a:noFill/>
        <a:ln>
          <a:noFill/>
        </a:ln>
        <a:effectLst/>
      </c:spPr>
    </c:title>
    <c:plotArea>
      <c:layout/>
      <c:barChart>
        <c:barDir val="col"/>
        <c:grouping val="clustered"/>
        <c:ser>
          <c:idx val="0"/>
          <c:order val="0"/>
          <c:tx>
            <c:strRef>
              <c:f>Лист1!$B$1</c:f>
              <c:strCache>
                <c:ptCount val="1"/>
                <c:pt idx="0">
                  <c:v>А подгруппа</c:v>
                </c:pt>
              </c:strCache>
            </c:strRef>
          </c:tx>
          <c:spPr>
            <a:solidFill>
              <a:schemeClr val="accent6"/>
            </a:solidFill>
            <a:ln>
              <a:noFill/>
            </a:ln>
            <a:effectLst/>
          </c:spPr>
          <c:dLbls>
            <c:dLbl>
              <c:idx val="0"/>
              <c:layout>
                <c:manualLayout>
                  <c:x val="-6.9444444444444588E-3"/>
                  <c:y val="3.6231884057971145E-3"/>
                </c:manualLayout>
              </c:layout>
              <c:showVal val="1"/>
            </c:dLbl>
            <c:dLbl>
              <c:idx val="2"/>
              <c:layout>
                <c:manualLayout>
                  <c:x val="-1.6203703703703703E-2"/>
                  <c:y val="0"/>
                </c:manualLayout>
              </c:layout>
              <c:showVal val="1"/>
            </c:dLbl>
            <c:dLbl>
              <c:idx val="3"/>
              <c:layout>
                <c:manualLayout>
                  <c:x val="-3.0092592592592511E-2"/>
                  <c:y val="7.6086956521739135E-2"/>
                </c:manualLayout>
              </c:layout>
              <c:showVal val="1"/>
            </c:dLbl>
            <c:dLbl>
              <c:idx val="4"/>
              <c:layout>
                <c:manualLayout>
                  <c:x val="-2.7777777777777922E-2"/>
                  <c:y val="1.4492753623188409E-2"/>
                </c:manualLayout>
              </c:layout>
              <c:showVal val="1"/>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IgGκ</c:v>
                </c:pt>
                <c:pt idx="1">
                  <c:v>IgGλ</c:v>
                </c:pt>
                <c:pt idx="2">
                  <c:v>IgАκ</c:v>
                </c:pt>
                <c:pt idx="3">
                  <c:v>IgАλ</c:v>
                </c:pt>
                <c:pt idx="4">
                  <c:v>редкие варианты</c:v>
                </c:pt>
              </c:strCache>
            </c:strRef>
          </c:cat>
          <c:val>
            <c:numRef>
              <c:f>Лист1!$B$2:$B$6</c:f>
              <c:numCache>
                <c:formatCode>General</c:formatCode>
                <c:ptCount val="5"/>
                <c:pt idx="0">
                  <c:v>1.3</c:v>
                </c:pt>
                <c:pt idx="1">
                  <c:v>1.4</c:v>
                </c:pt>
                <c:pt idx="2">
                  <c:v>1.36</c:v>
                </c:pt>
                <c:pt idx="3">
                  <c:v>1.1700000000000021</c:v>
                </c:pt>
                <c:pt idx="4">
                  <c:v>1.0900000000000001</c:v>
                </c:pt>
              </c:numCache>
            </c:numRef>
          </c:val>
          <c:extLst xmlns:c16r2="http://schemas.microsoft.com/office/drawing/2015/06/chart">
            <c:ext xmlns:c16="http://schemas.microsoft.com/office/drawing/2014/chart" uri="{C3380CC4-5D6E-409C-BE32-E72D297353CC}">
              <c16:uniqueId val="{00000000-F761-490F-BFAC-E95B3E9E89C1}"/>
            </c:ext>
          </c:extLst>
        </c:ser>
        <c:ser>
          <c:idx val="1"/>
          <c:order val="1"/>
          <c:tx>
            <c:strRef>
              <c:f>Лист1!$C$1</c:f>
              <c:strCache>
                <c:ptCount val="1"/>
                <c:pt idx="0">
                  <c:v>Б подгруппа</c:v>
                </c:pt>
              </c:strCache>
            </c:strRef>
          </c:tx>
          <c:spPr>
            <a:gradFill>
              <a:gsLst>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dLbls>
            <c:dLbl>
              <c:idx val="0"/>
              <c:layout>
                <c:manualLayout>
                  <c:x val="2.7777777777777922E-2"/>
                  <c:y val="0.12318840579710146"/>
                </c:manualLayout>
              </c:layout>
              <c:showVal val="1"/>
            </c:dLbl>
            <c:dLbl>
              <c:idx val="1"/>
              <c:layout>
                <c:manualLayout>
                  <c:x val="2.3148148148148147E-2"/>
                  <c:y val="0.14492753623188406"/>
                </c:manualLayout>
              </c:layout>
              <c:showVal val="1"/>
            </c:dLbl>
            <c:dLbl>
              <c:idx val="3"/>
              <c:layout>
                <c:manualLayout>
                  <c:x val="2.7777777777777922E-2"/>
                  <c:y val="-7.2463768115942576E-3"/>
                </c:manualLayout>
              </c:layout>
              <c:showVal val="1"/>
            </c:dLbl>
            <c:dLbl>
              <c:idx val="4"/>
              <c:layout>
                <c:manualLayout>
                  <c:x val="3.0092592592592591E-2"/>
                  <c:y val="3.6231884057971145E-3"/>
                </c:manualLayout>
              </c:layout>
              <c:showVal val="1"/>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IgGκ</c:v>
                </c:pt>
                <c:pt idx="1">
                  <c:v>IgGλ</c:v>
                </c:pt>
                <c:pt idx="2">
                  <c:v>IgАκ</c:v>
                </c:pt>
                <c:pt idx="3">
                  <c:v>IgАλ</c:v>
                </c:pt>
                <c:pt idx="4">
                  <c:v>редкие варианты</c:v>
                </c:pt>
              </c:strCache>
            </c:strRef>
          </c:cat>
          <c:val>
            <c:numRef>
              <c:f>Лист1!$C$2:$C$6</c:f>
              <c:numCache>
                <c:formatCode>General</c:formatCode>
                <c:ptCount val="5"/>
                <c:pt idx="0">
                  <c:v>1.33</c:v>
                </c:pt>
                <c:pt idx="1">
                  <c:v>1.4</c:v>
                </c:pt>
                <c:pt idx="2">
                  <c:v>1.6</c:v>
                </c:pt>
                <c:pt idx="3">
                  <c:v>1.22</c:v>
                </c:pt>
                <c:pt idx="4">
                  <c:v>1.0900000000000001</c:v>
                </c:pt>
              </c:numCache>
            </c:numRef>
          </c:val>
          <c:extLst xmlns:c16r2="http://schemas.microsoft.com/office/drawing/2015/06/chart">
            <c:ext xmlns:c16="http://schemas.microsoft.com/office/drawing/2014/chart" uri="{C3380CC4-5D6E-409C-BE32-E72D297353CC}">
              <c16:uniqueId val="{00000001-F761-490F-BFAC-E95B3E9E89C1}"/>
            </c:ext>
          </c:extLst>
        </c:ser>
        <c:ser>
          <c:idx val="2"/>
          <c:order val="2"/>
          <c:tx>
            <c:strRef>
              <c:f>Лист1!$D$1</c:f>
              <c:strCache>
                <c:ptCount val="1"/>
                <c:pt idx="0">
                  <c:v>Столбец2</c:v>
                </c:pt>
              </c:strCache>
            </c:strRef>
          </c:tx>
          <c:spPr>
            <a:solidFill>
              <a:schemeClr val="accent3"/>
            </a:solidFill>
            <a:ln>
              <a:noFill/>
            </a:ln>
            <a:effectLst/>
          </c:spPr>
          <c:cat>
            <c:strRef>
              <c:f>Лист1!$A$2:$A$6</c:f>
              <c:strCache>
                <c:ptCount val="5"/>
                <c:pt idx="0">
                  <c:v>IgGκ</c:v>
                </c:pt>
                <c:pt idx="1">
                  <c:v>IgGλ</c:v>
                </c:pt>
                <c:pt idx="2">
                  <c:v>IgАκ</c:v>
                </c:pt>
                <c:pt idx="3">
                  <c:v>IgАλ</c:v>
                </c:pt>
                <c:pt idx="4">
                  <c:v>редкие варианты</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F761-490F-BFAC-E95B3E9E89C1}"/>
            </c:ext>
          </c:extLst>
        </c:ser>
        <c:axId val="104439808"/>
        <c:axId val="104441344"/>
      </c:barChart>
      <c:catAx>
        <c:axId val="104439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441344"/>
        <c:crosses val="autoZero"/>
        <c:auto val="1"/>
        <c:lblAlgn val="ctr"/>
        <c:lblOffset val="100"/>
      </c:catAx>
      <c:valAx>
        <c:axId val="104441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439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уровень</a:t>
            </a:r>
            <a:r>
              <a:rPr lang="ru-RU" baseline="0"/>
              <a:t> </a:t>
            </a:r>
            <a:r>
              <a:rPr lang="ru-RU" baseline="0">
                <a:latin typeface="Times New Roman" panose="02020603050405020304" pitchFamily="18" charset="0"/>
                <a:cs typeface="Times New Roman" panose="02020603050405020304" pitchFamily="18" charset="0"/>
              </a:rPr>
              <a:t>мочевины</a:t>
            </a:r>
            <a:endParaRPr lang="ru-RU"/>
          </a:p>
        </c:rich>
      </c:tx>
      <c:layout>
        <c:manualLayout>
          <c:xMode val="edge"/>
          <c:yMode val="edge"/>
          <c:x val="0.43656824146981876"/>
          <c:y val="2.7777777777778064E-2"/>
        </c:manualLayout>
      </c:layout>
      <c:spPr>
        <a:noFill/>
        <a:ln>
          <a:noFill/>
        </a:ln>
        <a:effectLst/>
      </c:spPr>
    </c:title>
    <c:plotArea>
      <c:layout/>
      <c:barChart>
        <c:barDir val="col"/>
        <c:grouping val="clustered"/>
        <c:ser>
          <c:idx val="0"/>
          <c:order val="0"/>
          <c:tx>
            <c:strRef>
              <c:f>Лист1!$B$1</c:f>
              <c:strCache>
                <c:ptCount val="1"/>
                <c:pt idx="0">
                  <c:v>до лечения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Лист1!$B$2:$B$7</c:f>
              <c:numCache>
                <c:formatCode>General</c:formatCode>
                <c:ptCount val="6"/>
                <c:pt idx="0">
                  <c:v>9.1</c:v>
                </c:pt>
                <c:pt idx="1">
                  <c:v>12.6</c:v>
                </c:pt>
                <c:pt idx="2">
                  <c:v>9.6</c:v>
                </c:pt>
                <c:pt idx="3">
                  <c:v>10.5</c:v>
                </c:pt>
                <c:pt idx="4">
                  <c:v>9.6</c:v>
                </c:pt>
              </c:numCache>
            </c:numRef>
          </c:val>
          <c:extLst xmlns:c16r2="http://schemas.microsoft.com/office/drawing/2015/06/chart">
            <c:ext xmlns:c16="http://schemas.microsoft.com/office/drawing/2014/chart" uri="{C3380CC4-5D6E-409C-BE32-E72D297353CC}">
              <c16:uniqueId val="{00000000-B466-43A6-ADB8-3F5F865837D0}"/>
            </c:ext>
          </c:extLst>
        </c:ser>
        <c:ser>
          <c:idx val="1"/>
          <c:order val="1"/>
          <c:tx>
            <c:strRef>
              <c:f>Лист1!$C$1</c:f>
              <c:strCache>
                <c:ptCount val="1"/>
                <c:pt idx="0">
                  <c:v>А подгруппа</c:v>
                </c:pt>
              </c:strCache>
            </c:strRef>
          </c:tx>
          <c:spPr>
            <a:solidFill>
              <a:schemeClr val="accent6"/>
            </a:solidFill>
            <a:ln>
              <a:noFill/>
            </a:ln>
            <a:effectLst/>
          </c:spPr>
          <c:dPt>
            <c:idx val="0"/>
            <c:spPr>
              <a:solidFill>
                <a:srgbClr val="FFFF00"/>
              </a:solidFill>
              <a:ln>
                <a:noFill/>
              </a:ln>
              <a:effectLst/>
            </c:spPr>
            <c:extLst xmlns:c16r2="http://schemas.microsoft.com/office/drawing/2015/06/chart">
              <c:ext xmlns:c16="http://schemas.microsoft.com/office/drawing/2014/chart" uri="{C3380CC4-5D6E-409C-BE32-E72D297353CC}">
                <c16:uniqueId val="{00000002-B466-43A6-ADB8-3F5F865837D0}"/>
              </c:ext>
            </c:extLst>
          </c:dPt>
          <c:dPt>
            <c:idx val="1"/>
            <c:spPr>
              <a:solidFill>
                <a:srgbClr val="FFFF00"/>
              </a:solidFill>
              <a:ln>
                <a:noFill/>
              </a:ln>
              <a:effectLst/>
            </c:spPr>
            <c:extLst xmlns:c16r2="http://schemas.microsoft.com/office/drawing/2015/06/chart">
              <c:ext xmlns:c16="http://schemas.microsoft.com/office/drawing/2014/chart" uri="{C3380CC4-5D6E-409C-BE32-E72D297353CC}">
                <c16:uniqueId val="{00000004-B466-43A6-ADB8-3F5F865837D0}"/>
              </c:ext>
            </c:extLst>
          </c:dPt>
          <c:dPt>
            <c:idx val="2"/>
            <c:spPr>
              <a:solidFill>
                <a:srgbClr val="FFFF00"/>
              </a:solidFill>
              <a:ln>
                <a:noFill/>
              </a:ln>
              <a:effectLst/>
            </c:spPr>
            <c:extLst xmlns:c16r2="http://schemas.microsoft.com/office/drawing/2015/06/chart">
              <c:ext xmlns:c16="http://schemas.microsoft.com/office/drawing/2014/chart" uri="{C3380CC4-5D6E-409C-BE32-E72D297353CC}">
                <c16:uniqueId val="{00000006-B466-43A6-ADB8-3F5F865837D0}"/>
              </c:ext>
            </c:extLst>
          </c:dPt>
          <c:dPt>
            <c:idx val="3"/>
            <c:spPr>
              <a:solidFill>
                <a:srgbClr val="FFFF00"/>
              </a:solidFill>
              <a:ln>
                <a:noFill/>
              </a:ln>
              <a:effectLst/>
            </c:spPr>
            <c:extLst xmlns:c16r2="http://schemas.microsoft.com/office/drawing/2015/06/chart">
              <c:ext xmlns:c16="http://schemas.microsoft.com/office/drawing/2014/chart" uri="{C3380CC4-5D6E-409C-BE32-E72D297353CC}">
                <c16:uniqueId val="{00000008-B466-43A6-ADB8-3F5F865837D0}"/>
              </c:ext>
            </c:extLst>
          </c:dPt>
          <c:dPt>
            <c:idx val="4"/>
            <c:spPr>
              <a:solidFill>
                <a:srgbClr val="FFFF00"/>
              </a:solidFill>
              <a:ln>
                <a:noFill/>
              </a:ln>
              <a:effectLst/>
            </c:spPr>
            <c:extLst xmlns:c16r2="http://schemas.microsoft.com/office/drawing/2015/06/chart">
              <c:ext xmlns:c16="http://schemas.microsoft.com/office/drawing/2014/chart" uri="{C3380CC4-5D6E-409C-BE32-E72D297353CC}">
                <c16:uniqueId val="{0000000A-B466-43A6-ADB8-3F5F865837D0}"/>
              </c:ext>
            </c:extLst>
          </c:dPt>
          <c:dLbls>
            <c:dLbl>
              <c:idx val="5"/>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Лист1!$C$2:$C$7</c:f>
              <c:numCache>
                <c:formatCode>General</c:formatCode>
                <c:ptCount val="6"/>
                <c:pt idx="0">
                  <c:v>7.7</c:v>
                </c:pt>
                <c:pt idx="1">
                  <c:v>8.7000000000000011</c:v>
                </c:pt>
                <c:pt idx="2">
                  <c:v>9.5</c:v>
                </c:pt>
                <c:pt idx="3">
                  <c:v>9.3000000000000007</c:v>
                </c:pt>
                <c:pt idx="4">
                  <c:v>10.5</c:v>
                </c:pt>
                <c:pt idx="5">
                  <c:v>0</c:v>
                </c:pt>
              </c:numCache>
            </c:numRef>
          </c:val>
          <c:extLst xmlns:c16r2="http://schemas.microsoft.com/office/drawing/2015/06/chart">
            <c:ext xmlns:c16="http://schemas.microsoft.com/office/drawing/2014/chart" uri="{C3380CC4-5D6E-409C-BE32-E72D297353CC}">
              <c16:uniqueId val="{0000000B-B466-43A6-ADB8-3F5F865837D0}"/>
            </c:ext>
          </c:extLst>
        </c:ser>
        <c:gapWidth val="182"/>
        <c:axId val="104630528"/>
        <c:axId val="104648704"/>
      </c:barChart>
      <c:lineChart>
        <c:grouping val="standard"/>
        <c:ser>
          <c:idx val="2"/>
          <c:order val="2"/>
          <c:tx>
            <c:strRef>
              <c:f>Лист1!$D$1</c:f>
              <c:strCache>
                <c:ptCount val="1"/>
                <c:pt idx="0">
                  <c:v>Б подгруппа</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Лист1!$D$2:$D$7</c:f>
              <c:numCache>
                <c:formatCode>General</c:formatCode>
                <c:ptCount val="6"/>
                <c:pt idx="0">
                  <c:v>7.7</c:v>
                </c:pt>
                <c:pt idx="1">
                  <c:v>6.6</c:v>
                </c:pt>
                <c:pt idx="2">
                  <c:v>8.6</c:v>
                </c:pt>
                <c:pt idx="3">
                  <c:v>4.8</c:v>
                </c:pt>
                <c:pt idx="4">
                  <c:v>5.2</c:v>
                </c:pt>
              </c:numCache>
            </c:numRef>
          </c:val>
          <c:extLst xmlns:c16r2="http://schemas.microsoft.com/office/drawing/2015/06/chart">
            <c:ext xmlns:c16="http://schemas.microsoft.com/office/drawing/2014/chart" uri="{C3380CC4-5D6E-409C-BE32-E72D297353CC}">
              <c16:uniqueId val="{0000000C-B466-43A6-ADB8-3F5F865837D0}"/>
            </c:ext>
          </c:extLst>
        </c:ser>
        <c:marker val="1"/>
        <c:axId val="104630528"/>
        <c:axId val="104648704"/>
      </c:lineChart>
      <c:catAx>
        <c:axId val="104630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648704"/>
        <c:crosses val="autoZero"/>
        <c:auto val="1"/>
        <c:lblAlgn val="ctr"/>
        <c:lblOffset val="100"/>
      </c:catAx>
      <c:valAx>
        <c:axId val="104648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6305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view3D>
      <c:rotX val="30"/>
      <c:rotY val="30"/>
      <c:depthPercent val="100"/>
      <c:perspective val="5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пациенты ММ</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8C4-48BA-B612-58C3569BB3F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8C4-48BA-B612-58C3569BB3F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8C4-48BA-B612-58C3569BB3F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8C4-48BA-B612-58C3569BB3F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8C4-48BA-B612-58C3569BB3F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8C4-48BA-B612-58C3569BB3F3}"/>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B8C4-48BA-B612-58C3569BB3F3}"/>
              </c:ext>
            </c:extLst>
          </c:dPt>
          <c:dPt>
            <c:idx val="7"/>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B8C4-48BA-B612-58C3569BB3F3}"/>
              </c:ext>
            </c:extLst>
          </c:dPt>
          <c:dPt>
            <c:idx val="8"/>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B8C4-48BA-B612-58C3569BB3F3}"/>
              </c:ext>
            </c:extLst>
          </c:dPt>
          <c:dPt>
            <c:idx val="9"/>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B8C4-48BA-B612-58C3569BB3F3}"/>
              </c:ext>
            </c:extLst>
          </c:dPt>
          <c:dPt>
            <c:idx val="1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B8C4-48BA-B612-58C3569BB3F3}"/>
              </c:ext>
            </c:extLst>
          </c:dPt>
          <c:dPt>
            <c:idx val="11"/>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B8C4-48BA-B612-58C3569BB3F3}"/>
              </c:ext>
            </c:extLst>
          </c:dPt>
          <c:dLbls>
            <c:dLbl>
              <c:idx val="0"/>
              <c:layout>
                <c:manualLayout>
                  <c:x val="-6.6325641586468448E-2"/>
                  <c:y val="-0.3818569553805802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C4-48BA-B612-58C3569BB3F3}"/>
                </c:ext>
              </c:extLst>
            </c:dLbl>
            <c:dLbl>
              <c:idx val="1"/>
              <c:layout>
                <c:manualLayout>
                  <c:x val="1.2960593467483279E-2"/>
                  <c:y val="1.1192038495188166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C4-48BA-B612-58C3569BB3F3}"/>
                </c:ext>
              </c:extLst>
            </c:dLbl>
            <c:dLbl>
              <c:idx val="2"/>
              <c:layout>
                <c:manualLayout>
                  <c:x val="-6.2817147856518664E-3"/>
                  <c:y val="-8.713598300212547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C4-48BA-B612-58C3569BB3F3}"/>
                </c:ext>
              </c:extLst>
            </c:dLbl>
            <c:dLbl>
              <c:idx val="3"/>
              <c:layout>
                <c:manualLayout>
                  <c:x val="-2.7011701662292251E-2"/>
                  <c:y val="-1.2513435820522435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8C4-48BA-B612-58C3569BB3F3}"/>
                </c:ext>
              </c:extLst>
            </c:dLbl>
            <c:dLbl>
              <c:idx val="4"/>
              <c:layout>
                <c:manualLayout>
                  <c:x val="-6.6311060075823894E-2"/>
                  <c:y val="1.0706474190726145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8C4-48BA-B612-58C3569BB3F3}"/>
                </c:ext>
              </c:extLst>
            </c:dLbl>
            <c:dLbl>
              <c:idx val="5"/>
              <c:layout>
                <c:manualLayout>
                  <c:x val="-6.9844342373869855E-2"/>
                  <c:y val="-1.8237720284964443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8C4-48BA-B612-58C3569BB3F3}"/>
                </c:ext>
              </c:extLst>
            </c:dLbl>
            <c:dLbl>
              <c:idx val="6"/>
              <c:layout>
                <c:manualLayout>
                  <c:x val="-4.1667578011081952E-2"/>
                  <c:y val="-1.4269466316710449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8C4-48BA-B612-58C3569BB3F3}"/>
                </c:ext>
              </c:extLst>
            </c:dLbl>
            <c:dLbl>
              <c:idx val="7"/>
              <c:layout>
                <c:manualLayout>
                  <c:x val="-1.3834390492855061E-2"/>
                  <c:y val="-1.4269466316710449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8C4-48BA-B612-58C3569BB3F3}"/>
                </c:ext>
              </c:extLst>
            </c:dLbl>
            <c:dLbl>
              <c:idx val="8"/>
              <c:layout>
                <c:manualLayout>
                  <c:x val="-3.4746828521434819E-2"/>
                  <c:y val="-1.5448381452318539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8C4-48BA-B612-58C3569BB3F3}"/>
                </c:ext>
              </c:extLst>
            </c:dLbl>
            <c:dLbl>
              <c:idx val="9"/>
              <c:layout>
                <c:manualLayout>
                  <c:x val="-4.0165317876932102E-2"/>
                  <c:y val="-1.9624421947256741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8C4-48BA-B612-58C3569BB3F3}"/>
                </c:ext>
              </c:extLst>
            </c:dLbl>
            <c:dLbl>
              <c:idx val="10"/>
              <c:layout>
                <c:manualLayout>
                  <c:x val="-1.4258165645960982E-2"/>
                  <c:y val="-2.569053868266484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8C4-48BA-B612-58C3569BB3F3}"/>
                </c:ext>
              </c:extLst>
            </c:dLbl>
            <c:dLbl>
              <c:idx val="11"/>
              <c:layout>
                <c:manualLayout>
                  <c:x val="3.7621208807232402E-2"/>
                  <c:y val="-5.2843394575678403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8C4-48BA-B612-58C3569BB3F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Лист1!$A$2:$A$13</c:f>
              <c:strCache>
                <c:ptCount val="12"/>
                <c:pt idx="0">
                  <c:v>IgG κ</c:v>
                </c:pt>
                <c:pt idx="1">
                  <c:v>IgG λ</c:v>
                </c:pt>
                <c:pt idx="2">
                  <c:v>IgA κ</c:v>
                </c:pt>
                <c:pt idx="3">
                  <c:v>IgА λ</c:v>
                </c:pt>
                <c:pt idx="4">
                  <c:v>IgGκ+IgAλ</c:v>
                </c:pt>
                <c:pt idx="5">
                  <c:v>IgGλ+IgМκ</c:v>
                </c:pt>
                <c:pt idx="6">
                  <c:v>IgGκ+free λ</c:v>
                </c:pt>
                <c:pt idx="7">
                  <c:v>IgАκ+freeλ</c:v>
                </c:pt>
                <c:pt idx="8">
                  <c:v>free λ</c:v>
                </c:pt>
                <c:pt idx="9">
                  <c:v>free κ</c:v>
                </c:pt>
                <c:pt idx="10">
                  <c:v>IgАλ+IgМκ</c:v>
                </c:pt>
                <c:pt idx="11">
                  <c:v>IgGκ+IgAλ+free</c:v>
                </c:pt>
              </c:strCache>
            </c:strRef>
          </c:cat>
          <c:val>
            <c:numRef>
              <c:f>Лист1!$B$2:$B$13</c:f>
              <c:numCache>
                <c:formatCode>General</c:formatCode>
                <c:ptCount val="12"/>
                <c:pt idx="0">
                  <c:v>45.2</c:v>
                </c:pt>
                <c:pt idx="1">
                  <c:v>21</c:v>
                </c:pt>
                <c:pt idx="2">
                  <c:v>6.5</c:v>
                </c:pt>
                <c:pt idx="3">
                  <c:v>11.3</c:v>
                </c:pt>
                <c:pt idx="4">
                  <c:v>5.6</c:v>
                </c:pt>
                <c:pt idx="5">
                  <c:v>0.8</c:v>
                </c:pt>
                <c:pt idx="6">
                  <c:v>0.8</c:v>
                </c:pt>
                <c:pt idx="7">
                  <c:v>0.8</c:v>
                </c:pt>
                <c:pt idx="8">
                  <c:v>4.8</c:v>
                </c:pt>
                <c:pt idx="9">
                  <c:v>0.8</c:v>
                </c:pt>
                <c:pt idx="10">
                  <c:v>0.8</c:v>
                </c:pt>
                <c:pt idx="11">
                  <c:v>0.8</c:v>
                </c:pt>
              </c:numCache>
            </c:numRef>
          </c:val>
          <c:extLst xmlns:c16r2="http://schemas.microsoft.com/office/drawing/2015/06/chart">
            <c:ext xmlns:c16="http://schemas.microsoft.com/office/drawing/2014/chart" uri="{C3380CC4-5D6E-409C-BE32-E72D297353CC}">
              <c16:uniqueId val="{00000018-B8C4-48BA-B612-58C3569BB3F3}"/>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уровень</a:t>
            </a:r>
            <a:r>
              <a:rPr lang="ru-RU" baseline="0"/>
              <a:t> </a:t>
            </a:r>
            <a:r>
              <a:rPr lang="ru-RU" baseline="0">
                <a:latin typeface="Times New Roman" panose="02020603050405020304" pitchFamily="18" charset="0"/>
                <a:cs typeface="Times New Roman" panose="02020603050405020304" pitchFamily="18" charset="0"/>
              </a:rPr>
              <a:t>креатинина</a:t>
            </a:r>
            <a:endParaRPr lang="ru-RU"/>
          </a:p>
        </c:rich>
      </c:tx>
      <c:layout>
        <c:manualLayout>
          <c:xMode val="edge"/>
          <c:yMode val="edge"/>
          <c:x val="0.43656824146981876"/>
          <c:y val="2.7777777777778064E-2"/>
        </c:manualLayout>
      </c:layout>
      <c:spPr>
        <a:noFill/>
        <a:ln>
          <a:noFill/>
        </a:ln>
        <a:effectLst/>
      </c:spPr>
    </c:title>
    <c:plotArea>
      <c:layout/>
      <c:barChart>
        <c:barDir val="col"/>
        <c:grouping val="clustered"/>
        <c:ser>
          <c:idx val="0"/>
          <c:order val="0"/>
          <c:tx>
            <c:strRef>
              <c:f>Лист1!$B$1</c:f>
              <c:strCache>
                <c:ptCount val="1"/>
                <c:pt idx="0">
                  <c:v>до лечения</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Лист1!$B$2:$B$7</c:f>
              <c:numCache>
                <c:formatCode>General</c:formatCode>
                <c:ptCount val="6"/>
                <c:pt idx="0">
                  <c:v>98.6</c:v>
                </c:pt>
                <c:pt idx="1">
                  <c:v>148.69999999999999</c:v>
                </c:pt>
                <c:pt idx="2">
                  <c:v>119</c:v>
                </c:pt>
                <c:pt idx="3">
                  <c:v>116.6</c:v>
                </c:pt>
                <c:pt idx="4">
                  <c:v>164.6</c:v>
                </c:pt>
              </c:numCache>
            </c:numRef>
          </c:val>
          <c:extLst xmlns:c16r2="http://schemas.microsoft.com/office/drawing/2015/06/chart">
            <c:ext xmlns:c16="http://schemas.microsoft.com/office/drawing/2014/chart" uri="{C3380CC4-5D6E-409C-BE32-E72D297353CC}">
              <c16:uniqueId val="{00000000-CB94-4EE5-B3AB-AB7E7E857505}"/>
            </c:ext>
          </c:extLst>
        </c:ser>
        <c:ser>
          <c:idx val="1"/>
          <c:order val="1"/>
          <c:tx>
            <c:strRef>
              <c:f>Лист1!$C$1</c:f>
              <c:strCache>
                <c:ptCount val="1"/>
                <c:pt idx="0">
                  <c:v>А подгруппа</c:v>
                </c:pt>
              </c:strCache>
            </c:strRef>
          </c:tx>
          <c:spPr>
            <a:solidFill>
              <a:srgbClr val="70AD47"/>
            </a:solidFill>
            <a:ln>
              <a:noFill/>
            </a:ln>
            <a:effectLst/>
          </c:spPr>
          <c:dLbls>
            <c:dLbl>
              <c:idx val="5"/>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Лист1!$C$2:$C$7</c:f>
              <c:numCache>
                <c:formatCode>General</c:formatCode>
                <c:ptCount val="6"/>
                <c:pt idx="0">
                  <c:v>89.7</c:v>
                </c:pt>
                <c:pt idx="1">
                  <c:v>108.7</c:v>
                </c:pt>
                <c:pt idx="2">
                  <c:v>86.8</c:v>
                </c:pt>
                <c:pt idx="3">
                  <c:v>92.2</c:v>
                </c:pt>
                <c:pt idx="4">
                  <c:v>103.4</c:v>
                </c:pt>
                <c:pt idx="5">
                  <c:v>0</c:v>
                </c:pt>
              </c:numCache>
            </c:numRef>
          </c:val>
          <c:extLst xmlns:c16r2="http://schemas.microsoft.com/office/drawing/2015/06/chart">
            <c:ext xmlns:c16="http://schemas.microsoft.com/office/drawing/2014/chart" uri="{C3380CC4-5D6E-409C-BE32-E72D297353CC}">
              <c16:uniqueId val="{00000001-CB94-4EE5-B3AB-AB7E7E857505}"/>
            </c:ext>
          </c:extLst>
        </c:ser>
        <c:gapWidth val="182"/>
        <c:axId val="105680256"/>
        <c:axId val="105788544"/>
      </c:barChart>
      <c:lineChart>
        <c:grouping val="standard"/>
        <c:ser>
          <c:idx val="2"/>
          <c:order val="2"/>
          <c:tx>
            <c:strRef>
              <c:f>Лист1!$D$1</c:f>
              <c:strCache>
                <c:ptCount val="1"/>
                <c:pt idx="0">
                  <c:v>Б подгруппа</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Лист1!$D$2:$D$7</c:f>
              <c:numCache>
                <c:formatCode>General</c:formatCode>
                <c:ptCount val="6"/>
                <c:pt idx="0">
                  <c:v>78.8</c:v>
                </c:pt>
                <c:pt idx="1">
                  <c:v>80.149999999999991</c:v>
                </c:pt>
                <c:pt idx="2">
                  <c:v>88.9</c:v>
                </c:pt>
                <c:pt idx="3">
                  <c:v>75.900000000000006</c:v>
                </c:pt>
                <c:pt idx="4">
                  <c:v>73.400000000000006</c:v>
                </c:pt>
              </c:numCache>
            </c:numRef>
          </c:val>
          <c:extLst xmlns:c16r2="http://schemas.microsoft.com/office/drawing/2015/06/chart">
            <c:ext xmlns:c16="http://schemas.microsoft.com/office/drawing/2014/chart" uri="{C3380CC4-5D6E-409C-BE32-E72D297353CC}">
              <c16:uniqueId val="{00000002-CB94-4EE5-B3AB-AB7E7E857505}"/>
            </c:ext>
          </c:extLst>
        </c:ser>
        <c:marker val="1"/>
        <c:axId val="105680256"/>
        <c:axId val="105788544"/>
      </c:lineChart>
      <c:catAx>
        <c:axId val="105680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88544"/>
        <c:crosses val="autoZero"/>
        <c:auto val="1"/>
        <c:lblAlgn val="ctr"/>
        <c:lblOffset val="100"/>
      </c:catAx>
      <c:valAx>
        <c:axId val="105788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680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белок Бенс-Джонса</a:t>
            </a:r>
          </a:p>
        </c:rich>
      </c:tx>
      <c:layout>
        <c:manualLayout>
          <c:xMode val="edge"/>
          <c:yMode val="edge"/>
          <c:x val="0.43656824146981876"/>
          <c:y val="2.7777777777778064E-2"/>
        </c:manualLayout>
      </c:layout>
      <c:spPr>
        <a:noFill/>
        <a:ln>
          <a:noFill/>
        </a:ln>
        <a:effectLst/>
      </c:spPr>
    </c:title>
    <c:plotArea>
      <c:layout/>
      <c:barChart>
        <c:barDir val="col"/>
        <c:grouping val="clustered"/>
        <c:ser>
          <c:idx val="0"/>
          <c:order val="0"/>
          <c:tx>
            <c:strRef>
              <c:f>Лист1!$B$1</c:f>
              <c:strCache>
                <c:ptCount val="1"/>
                <c:pt idx="0">
                  <c:v>до лечения</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Лист1!$B$2:$B$7</c:f>
              <c:numCache>
                <c:formatCode>0.00%</c:formatCode>
                <c:ptCount val="6"/>
                <c:pt idx="0">
                  <c:v>4.8000000000000001E-2</c:v>
                </c:pt>
                <c:pt idx="1">
                  <c:v>4.8000000000000001E-2</c:v>
                </c:pt>
                <c:pt idx="2">
                  <c:v>1.6000000000000021E-2</c:v>
                </c:pt>
                <c:pt idx="3">
                  <c:v>3.2000000000000042E-2</c:v>
                </c:pt>
                <c:pt idx="4">
                  <c:v>4.8000000000000001E-2</c:v>
                </c:pt>
              </c:numCache>
            </c:numRef>
          </c:val>
          <c:extLst xmlns:c16r2="http://schemas.microsoft.com/office/drawing/2015/06/chart">
            <c:ext xmlns:c16="http://schemas.microsoft.com/office/drawing/2014/chart" uri="{C3380CC4-5D6E-409C-BE32-E72D297353CC}">
              <c16:uniqueId val="{00000000-1320-4C7E-A2C9-ADDCF36E1C61}"/>
            </c:ext>
          </c:extLst>
        </c:ser>
        <c:ser>
          <c:idx val="1"/>
          <c:order val="1"/>
          <c:tx>
            <c:strRef>
              <c:f>Лист1!$C$1</c:f>
              <c:strCache>
                <c:ptCount val="1"/>
                <c:pt idx="0">
                  <c:v>А подгруппа</c:v>
                </c:pt>
              </c:strCache>
            </c:strRef>
          </c:tx>
          <c:spPr>
            <a:solidFill>
              <a:schemeClr val="accent6"/>
            </a:solidFill>
            <a:ln>
              <a:noFill/>
            </a:ln>
            <a:effectLst/>
          </c:spPr>
          <c:dPt>
            <c:idx val="0"/>
            <c:spPr>
              <a:solidFill>
                <a:srgbClr val="FFFF00"/>
              </a:solidFill>
              <a:ln>
                <a:noFill/>
              </a:ln>
              <a:effectLst/>
            </c:spPr>
            <c:extLst xmlns:c16r2="http://schemas.microsoft.com/office/drawing/2015/06/chart">
              <c:ext xmlns:c16="http://schemas.microsoft.com/office/drawing/2014/chart" uri="{C3380CC4-5D6E-409C-BE32-E72D297353CC}">
                <c16:uniqueId val="{00000002-1320-4C7E-A2C9-ADDCF36E1C61}"/>
              </c:ext>
            </c:extLst>
          </c:dPt>
          <c:dPt>
            <c:idx val="1"/>
            <c:spPr>
              <a:solidFill>
                <a:srgbClr val="FFFF00"/>
              </a:solidFill>
              <a:ln>
                <a:noFill/>
              </a:ln>
              <a:effectLst/>
            </c:spPr>
            <c:extLst xmlns:c16r2="http://schemas.microsoft.com/office/drawing/2015/06/chart">
              <c:ext xmlns:c16="http://schemas.microsoft.com/office/drawing/2014/chart" uri="{C3380CC4-5D6E-409C-BE32-E72D297353CC}">
                <c16:uniqueId val="{00000004-1320-4C7E-A2C9-ADDCF36E1C61}"/>
              </c:ext>
            </c:extLst>
          </c:dPt>
          <c:dPt>
            <c:idx val="2"/>
            <c:spPr>
              <a:solidFill>
                <a:srgbClr val="FFFF00"/>
              </a:solidFill>
              <a:ln>
                <a:noFill/>
              </a:ln>
              <a:effectLst/>
            </c:spPr>
            <c:extLst xmlns:c16r2="http://schemas.microsoft.com/office/drawing/2015/06/chart">
              <c:ext xmlns:c16="http://schemas.microsoft.com/office/drawing/2014/chart" uri="{C3380CC4-5D6E-409C-BE32-E72D297353CC}">
                <c16:uniqueId val="{00000006-1320-4C7E-A2C9-ADDCF36E1C61}"/>
              </c:ext>
            </c:extLst>
          </c:dPt>
          <c:dPt>
            <c:idx val="3"/>
            <c:spPr>
              <a:solidFill>
                <a:srgbClr val="FFFF00"/>
              </a:solidFill>
              <a:ln>
                <a:noFill/>
              </a:ln>
              <a:effectLst/>
            </c:spPr>
            <c:extLst xmlns:c16r2="http://schemas.microsoft.com/office/drawing/2015/06/chart">
              <c:ext xmlns:c16="http://schemas.microsoft.com/office/drawing/2014/chart" uri="{C3380CC4-5D6E-409C-BE32-E72D297353CC}">
                <c16:uniqueId val="{00000008-1320-4C7E-A2C9-ADDCF36E1C61}"/>
              </c:ext>
            </c:extLst>
          </c:dPt>
          <c:dPt>
            <c:idx val="4"/>
            <c:spPr>
              <a:solidFill>
                <a:srgbClr val="FFFF00"/>
              </a:solidFill>
              <a:ln>
                <a:noFill/>
              </a:ln>
              <a:effectLst/>
            </c:spPr>
            <c:extLst xmlns:c16r2="http://schemas.microsoft.com/office/drawing/2015/06/chart">
              <c:ext xmlns:c16="http://schemas.microsoft.com/office/drawing/2014/chart" uri="{C3380CC4-5D6E-409C-BE32-E72D297353CC}">
                <c16:uniqueId val="{0000000A-1320-4C7E-A2C9-ADDCF36E1C61}"/>
              </c:ext>
            </c:extLst>
          </c:dPt>
          <c:dLbls>
            <c:dLbl>
              <c:idx val="3"/>
              <c:layout>
                <c:manualLayout>
                  <c:x val="-8.4875562720135711E-17"/>
                  <c:y val="-9.12698412698412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20-4C7E-A2C9-ADDCF36E1C61}"/>
                </c:ext>
              </c:extLst>
            </c:dLbl>
            <c:dLbl>
              <c:idx val="5"/>
              <c:delete val="1"/>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Лист1!$C$2:$C$7</c:f>
              <c:numCache>
                <c:formatCode>General</c:formatCode>
                <c:ptCount val="6"/>
                <c:pt idx="0" formatCode="0.00%">
                  <c:v>1.1500000000000071E-2</c:v>
                </c:pt>
                <c:pt idx="1">
                  <c:v>0</c:v>
                </c:pt>
                <c:pt idx="2" formatCode="0.00%">
                  <c:v>2.3E-2</c:v>
                </c:pt>
                <c:pt idx="3" formatCode="0.00%">
                  <c:v>3.4500000000000003E-2</c:v>
                </c:pt>
                <c:pt idx="4" formatCode="0.00%">
                  <c:v>2.3E-2</c:v>
                </c:pt>
                <c:pt idx="5">
                  <c:v>0</c:v>
                </c:pt>
              </c:numCache>
            </c:numRef>
          </c:val>
          <c:extLst xmlns:c16r2="http://schemas.microsoft.com/office/drawing/2015/06/chart">
            <c:ext xmlns:c16="http://schemas.microsoft.com/office/drawing/2014/chart" uri="{C3380CC4-5D6E-409C-BE32-E72D297353CC}">
              <c16:uniqueId val="{0000000B-1320-4C7E-A2C9-ADDCF36E1C61}"/>
            </c:ext>
          </c:extLst>
        </c:ser>
        <c:gapWidth val="182"/>
        <c:axId val="105858560"/>
        <c:axId val="105860096"/>
      </c:barChart>
      <c:lineChart>
        <c:grouping val="standard"/>
        <c:ser>
          <c:idx val="2"/>
          <c:order val="2"/>
          <c:tx>
            <c:strRef>
              <c:f>Лист1!$D$1</c:f>
              <c:strCache>
                <c:ptCount val="1"/>
                <c:pt idx="0">
                  <c:v>Б подгруппа</c:v>
                </c:pt>
              </c:strCache>
            </c:strRef>
          </c:tx>
          <c:spPr>
            <a:ln w="28575" cap="rnd">
              <a:solidFill>
                <a:schemeClr val="accent3"/>
              </a:solidFill>
              <a:round/>
            </a:ln>
            <a:effectLst/>
          </c:spPr>
          <c:marker>
            <c:symbol val="none"/>
          </c:marker>
          <c:cat>
            <c:strRef>
              <c:f>Лист1!$A$2:$A$7</c:f>
              <c:strCache>
                <c:ptCount val="5"/>
                <c:pt idx="0">
                  <c:v>IgGκ</c:v>
                </c:pt>
                <c:pt idx="1">
                  <c:v>IgGλ</c:v>
                </c:pt>
                <c:pt idx="2">
                  <c:v>IgАκ</c:v>
                </c:pt>
                <c:pt idx="3">
                  <c:v>IgAλ</c:v>
                </c:pt>
                <c:pt idx="4">
                  <c:v>редкие варианты</c:v>
                </c:pt>
              </c:strCache>
            </c:strRef>
          </c:cat>
          <c:val>
            <c:numRef>
              <c:f>Лист1!$D$2:$D$7</c:f>
              <c:numCache>
                <c:formatCode>General</c:formatCode>
                <c:ptCount val="6"/>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C-1320-4C7E-A2C9-ADDCF36E1C61}"/>
            </c:ext>
          </c:extLst>
        </c:ser>
        <c:marker val="1"/>
        <c:axId val="105858560"/>
        <c:axId val="105860096"/>
      </c:lineChart>
      <c:catAx>
        <c:axId val="105858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860096"/>
        <c:crosses val="autoZero"/>
        <c:auto val="1"/>
        <c:lblAlgn val="ctr"/>
        <c:lblOffset val="100"/>
      </c:catAx>
      <c:valAx>
        <c:axId val="10586009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858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БРВ</a:t>
            </a:r>
          </a:p>
        </c:rich>
      </c:tx>
      <c:layout>
        <c:manualLayout>
          <c:xMode val="edge"/>
          <c:yMode val="edge"/>
          <c:x val="0.43656824146981876"/>
          <c:y val="2.7777777777778064E-2"/>
        </c:manualLayout>
      </c:layout>
      <c:spPr>
        <a:noFill/>
        <a:ln>
          <a:noFill/>
        </a:ln>
        <a:effectLst/>
      </c:spPr>
    </c:title>
    <c:plotArea>
      <c:layout/>
      <c:barChart>
        <c:barDir val="col"/>
        <c:grouping val="clustered"/>
        <c:ser>
          <c:idx val="0"/>
          <c:order val="0"/>
          <c:tx>
            <c:strRef>
              <c:f>Лист1!$B$1</c:f>
              <c:strCache>
                <c:ptCount val="1"/>
                <c:pt idx="0">
                  <c:v>до 12 мес</c:v>
                </c:pt>
              </c:strCache>
            </c:strRef>
          </c:tx>
          <c:spPr>
            <a:solidFill>
              <a:schemeClr val="accent1"/>
            </a:solidFill>
            <a:ln>
              <a:noFill/>
            </a:ln>
            <a:effectLst/>
          </c:spPr>
          <c:dLbls>
            <c:dLbl>
              <c:idx val="0"/>
              <c:tx>
                <c:rich>
                  <a:bodyPr/>
                  <a:lstStyle/>
                  <a:p>
                    <a:r>
                      <a:rPr lang="en-US"/>
                      <a:t>80%</a:t>
                    </a:r>
                  </a:p>
                </c:rich>
              </c:tx>
              <c:showVal val="1"/>
            </c:dLbl>
            <c:dLbl>
              <c:idx val="1"/>
              <c:tx>
                <c:rich>
                  <a:bodyPr/>
                  <a:lstStyle/>
                  <a:p>
                    <a:r>
                      <a:rPr lang="en-US"/>
                      <a:t>68,8%</a:t>
                    </a:r>
                  </a:p>
                </c:rich>
              </c:tx>
              <c:showVal val="1"/>
            </c:dLbl>
            <c:dLbl>
              <c:idx val="2"/>
              <c:layout>
                <c:manualLayout>
                  <c:x val="-3.0092592592592591E-2"/>
                  <c:y val="3.5714285714285712E-2"/>
                </c:manualLayout>
              </c:layout>
              <c:tx>
                <c:rich>
                  <a:bodyPr/>
                  <a:lstStyle/>
                  <a:p>
                    <a:r>
                      <a:rPr lang="en-US"/>
                      <a:t>80%</a:t>
                    </a:r>
                  </a:p>
                </c:rich>
              </c:tx>
              <c:showVal val="1"/>
            </c:dLbl>
            <c:dLbl>
              <c:idx val="3"/>
              <c:tx>
                <c:rich>
                  <a:bodyPr/>
                  <a:lstStyle/>
                  <a:p>
                    <a:r>
                      <a:rPr lang="en-US"/>
                      <a:t>50%</a:t>
                    </a:r>
                  </a:p>
                </c:rich>
              </c:tx>
              <c:showVal val="1"/>
            </c:dLbl>
            <c:dLbl>
              <c:idx val="4"/>
              <c:layout>
                <c:manualLayout>
                  <c:x val="0.10185185185185186"/>
                  <c:y val="0"/>
                </c:manualLayout>
              </c:layout>
              <c:tx>
                <c:rich>
                  <a:bodyPr/>
                  <a:lstStyle/>
                  <a:p>
                    <a:r>
                      <a:rPr lang="en-US"/>
                      <a:t>71,4%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72-49B7-B7AF-3E7B0E2357A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Лист1!$B$2:$B$7</c:f>
              <c:numCache>
                <c:formatCode>0.00%</c:formatCode>
                <c:ptCount val="6"/>
                <c:pt idx="0">
                  <c:v>0.8</c:v>
                </c:pt>
                <c:pt idx="1">
                  <c:v>0.68799999999999994</c:v>
                </c:pt>
                <c:pt idx="2">
                  <c:v>0.8</c:v>
                </c:pt>
                <c:pt idx="3">
                  <c:v>0.5</c:v>
                </c:pt>
                <c:pt idx="4">
                  <c:v>0.71400000000000063</c:v>
                </c:pt>
              </c:numCache>
            </c:numRef>
          </c:val>
          <c:extLst xmlns:c16r2="http://schemas.microsoft.com/office/drawing/2015/06/chart">
            <c:ext xmlns:c16="http://schemas.microsoft.com/office/drawing/2014/chart" uri="{C3380CC4-5D6E-409C-BE32-E72D297353CC}">
              <c16:uniqueId val="{00000002-8B72-49B7-B7AF-3E7B0E2357AD}"/>
            </c:ext>
          </c:extLst>
        </c:ser>
        <c:ser>
          <c:idx val="1"/>
          <c:order val="1"/>
          <c:tx>
            <c:strRef>
              <c:f>Лист1!$C$1</c:f>
              <c:strCache>
                <c:ptCount val="1"/>
                <c:pt idx="0">
                  <c:v>до 36 мес</c:v>
                </c:pt>
              </c:strCache>
            </c:strRef>
          </c:tx>
          <c:spPr>
            <a:solidFill>
              <a:schemeClr val="accent6"/>
            </a:solidFill>
            <a:ln>
              <a:noFill/>
            </a:ln>
            <a:effectLst/>
          </c:spPr>
          <c:dPt>
            <c:idx val="0"/>
            <c:spPr>
              <a:solidFill>
                <a:srgbClr val="FFFF00"/>
              </a:solidFill>
              <a:ln>
                <a:noFill/>
              </a:ln>
              <a:effectLst/>
            </c:spPr>
            <c:extLst xmlns:c16r2="http://schemas.microsoft.com/office/drawing/2015/06/chart">
              <c:ext xmlns:c16="http://schemas.microsoft.com/office/drawing/2014/chart" uri="{C3380CC4-5D6E-409C-BE32-E72D297353CC}">
                <c16:uniqueId val="{00000004-8B72-49B7-B7AF-3E7B0E2357AD}"/>
              </c:ext>
            </c:extLst>
          </c:dPt>
          <c:dPt>
            <c:idx val="1"/>
            <c:spPr>
              <a:solidFill>
                <a:srgbClr val="FFFF00"/>
              </a:solidFill>
              <a:ln>
                <a:noFill/>
              </a:ln>
              <a:effectLst/>
            </c:spPr>
            <c:extLst xmlns:c16r2="http://schemas.microsoft.com/office/drawing/2015/06/chart">
              <c:ext xmlns:c16="http://schemas.microsoft.com/office/drawing/2014/chart" uri="{C3380CC4-5D6E-409C-BE32-E72D297353CC}">
                <c16:uniqueId val="{00000006-8B72-49B7-B7AF-3E7B0E2357AD}"/>
              </c:ext>
            </c:extLst>
          </c:dPt>
          <c:dPt>
            <c:idx val="2"/>
            <c:spPr>
              <a:solidFill>
                <a:srgbClr val="FFFF00"/>
              </a:solidFill>
              <a:ln>
                <a:noFill/>
              </a:ln>
              <a:effectLst/>
            </c:spPr>
            <c:extLst xmlns:c16r2="http://schemas.microsoft.com/office/drawing/2015/06/chart">
              <c:ext xmlns:c16="http://schemas.microsoft.com/office/drawing/2014/chart" uri="{C3380CC4-5D6E-409C-BE32-E72D297353CC}">
                <c16:uniqueId val="{00000008-8B72-49B7-B7AF-3E7B0E2357AD}"/>
              </c:ext>
            </c:extLst>
          </c:dPt>
          <c:dPt>
            <c:idx val="3"/>
            <c:spPr>
              <a:solidFill>
                <a:srgbClr val="FFFF00"/>
              </a:solidFill>
              <a:ln>
                <a:noFill/>
              </a:ln>
              <a:effectLst/>
            </c:spPr>
            <c:extLst xmlns:c16r2="http://schemas.microsoft.com/office/drawing/2015/06/chart">
              <c:ext xmlns:c16="http://schemas.microsoft.com/office/drawing/2014/chart" uri="{C3380CC4-5D6E-409C-BE32-E72D297353CC}">
                <c16:uniqueId val="{0000000A-8B72-49B7-B7AF-3E7B0E2357AD}"/>
              </c:ext>
            </c:extLst>
          </c:dPt>
          <c:dPt>
            <c:idx val="4"/>
            <c:spPr>
              <a:solidFill>
                <a:srgbClr val="FFFF00"/>
              </a:solidFill>
              <a:ln>
                <a:noFill/>
              </a:ln>
              <a:effectLst/>
            </c:spPr>
            <c:extLst xmlns:c16r2="http://schemas.microsoft.com/office/drawing/2015/06/chart">
              <c:ext xmlns:c16="http://schemas.microsoft.com/office/drawing/2014/chart" uri="{C3380CC4-5D6E-409C-BE32-E72D297353CC}">
                <c16:uniqueId val="{0000000C-8B72-49B7-B7AF-3E7B0E2357AD}"/>
              </c:ext>
            </c:extLst>
          </c:dPt>
          <c:dLbls>
            <c:dLbl>
              <c:idx val="0"/>
              <c:tx>
                <c:rich>
                  <a:bodyPr/>
                  <a:lstStyle/>
                  <a:p>
                    <a:r>
                      <a:rPr lang="en-US"/>
                      <a:t>17,5%</a:t>
                    </a:r>
                  </a:p>
                </c:rich>
              </c:tx>
              <c:showVal val="1"/>
            </c:dLbl>
            <c:dLbl>
              <c:idx val="1"/>
              <c:tx>
                <c:rich>
                  <a:bodyPr/>
                  <a:lstStyle/>
                  <a:p>
                    <a:r>
                      <a:rPr lang="en-US"/>
                      <a:t>12,5%</a:t>
                    </a:r>
                  </a:p>
                </c:rich>
              </c:tx>
              <c:showVal val="1"/>
            </c:dLbl>
            <c:dLbl>
              <c:idx val="2"/>
              <c:tx>
                <c:rich>
                  <a:bodyPr/>
                  <a:lstStyle/>
                  <a:p>
                    <a:r>
                      <a:rPr lang="en-US"/>
                      <a:t>0%</a:t>
                    </a:r>
                  </a:p>
                </c:rich>
              </c:tx>
              <c:showVal val="1"/>
            </c:dLbl>
            <c:dLbl>
              <c:idx val="3"/>
              <c:layout>
                <c:manualLayout>
                  <c:x val="-1.3888888888888954E-2"/>
                  <c:y val="3.9682539682539802E-3"/>
                </c:manualLayout>
              </c:layout>
              <c:tx>
                <c:rich>
                  <a:bodyPr/>
                  <a:lstStyle/>
                  <a:p>
                    <a:r>
                      <a:rPr lang="en-US"/>
                      <a:t>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B72-49B7-B7AF-3E7B0E2357AD}"/>
                </c:ext>
              </c:extLst>
            </c:dLbl>
            <c:dLbl>
              <c:idx val="4"/>
              <c:tx>
                <c:rich>
                  <a:bodyPr/>
                  <a:lstStyle/>
                  <a:p>
                    <a:r>
                      <a:rPr lang="en-US"/>
                      <a:t>21,4%</a:t>
                    </a:r>
                  </a:p>
                </c:rich>
              </c:tx>
              <c:showVal val="1"/>
            </c:dLbl>
            <c:dLbl>
              <c:idx val="5"/>
              <c:delete val="1"/>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Лист1!$C$2:$C$7</c:f>
              <c:numCache>
                <c:formatCode>0.00%</c:formatCode>
                <c:ptCount val="6"/>
                <c:pt idx="0">
                  <c:v>0.17500000000000004</c:v>
                </c:pt>
                <c:pt idx="1">
                  <c:v>0.125</c:v>
                </c:pt>
                <c:pt idx="2">
                  <c:v>0</c:v>
                </c:pt>
                <c:pt idx="3">
                  <c:v>0</c:v>
                </c:pt>
                <c:pt idx="4">
                  <c:v>0.21400000000000041</c:v>
                </c:pt>
                <c:pt idx="5" formatCode="General">
                  <c:v>0</c:v>
                </c:pt>
              </c:numCache>
            </c:numRef>
          </c:val>
          <c:extLst xmlns:c16r2="http://schemas.microsoft.com/office/drawing/2015/06/chart">
            <c:ext xmlns:c16="http://schemas.microsoft.com/office/drawing/2014/chart" uri="{C3380CC4-5D6E-409C-BE32-E72D297353CC}">
              <c16:uniqueId val="{0000000D-8B72-49B7-B7AF-3E7B0E2357AD}"/>
            </c:ext>
          </c:extLst>
        </c:ser>
        <c:ser>
          <c:idx val="2"/>
          <c:order val="2"/>
          <c:tx>
            <c:strRef>
              <c:f>Лист1!$D$1</c:f>
              <c:strCache>
                <c:ptCount val="1"/>
                <c:pt idx="0">
                  <c:v>до 60 мес и более</c:v>
                </c:pt>
              </c:strCache>
            </c:strRef>
          </c:tx>
          <c:spPr>
            <a:solidFill>
              <a:schemeClr val="accent3"/>
            </a:solidFill>
            <a:ln>
              <a:noFill/>
            </a:ln>
            <a:effectLst/>
          </c:spPr>
          <c:dLbls>
            <c:dLbl>
              <c:idx val="0"/>
              <c:layout>
                <c:manualLayout>
                  <c:x val="0"/>
                  <c:y val="-9.5238095238095261E-2"/>
                </c:manualLayout>
              </c:layout>
              <c:tx>
                <c:rich>
                  <a:bodyPr/>
                  <a:lstStyle/>
                  <a:p>
                    <a:r>
                      <a:rPr lang="en-US"/>
                      <a:t>42,9%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B72-49B7-B7AF-3E7B0E2357AD}"/>
                </c:ext>
              </c:extLst>
            </c:dLbl>
            <c:dLbl>
              <c:idx val="1"/>
              <c:layout>
                <c:manualLayout>
                  <c:x val="1.1574074074074073E-2"/>
                  <c:y val="-0.14285714285714399"/>
                </c:manualLayout>
              </c:layout>
              <c:tx>
                <c:rich>
                  <a:bodyPr/>
                  <a:lstStyle/>
                  <a:p>
                    <a:r>
                      <a:rPr lang="en-US"/>
                      <a:t>12,5%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B72-49B7-B7AF-3E7B0E2357AD}"/>
                </c:ext>
              </c:extLst>
            </c:dLbl>
            <c:dLbl>
              <c:idx val="2"/>
              <c:layout>
                <c:manualLayout>
                  <c:x val="-8.4875562720135711E-17"/>
                  <c:y val="-0.126984126984126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B72-49B7-B7AF-3E7B0E2357AD}"/>
                </c:ext>
              </c:extLst>
            </c:dLbl>
            <c:dLbl>
              <c:idx val="3"/>
              <c:layout>
                <c:manualLayout>
                  <c:x val="0"/>
                  <c:y val="3.968253968253968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B72-49B7-B7AF-3E7B0E2357AD}"/>
                </c:ext>
              </c:extLst>
            </c:dLbl>
            <c:dLbl>
              <c:idx val="4"/>
              <c:layout>
                <c:manualLayout>
                  <c:x val="9.2592592592592605E-3"/>
                  <c:y val="-9.12698412698413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B72-49B7-B7AF-3E7B0E2357A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Лист1!$D$2:$D$7</c:f>
              <c:numCache>
                <c:formatCode>0.00%</c:formatCode>
                <c:ptCount val="6"/>
                <c:pt idx="0">
                  <c:v>0.42900000000000038</c:v>
                </c:pt>
                <c:pt idx="1">
                  <c:v>0.125</c:v>
                </c:pt>
                <c:pt idx="2" formatCode="0%">
                  <c:v>0</c:v>
                </c:pt>
                <c:pt idx="3" formatCode="0%">
                  <c:v>0</c:v>
                </c:pt>
                <c:pt idx="4" formatCode="0%">
                  <c:v>0</c:v>
                </c:pt>
              </c:numCache>
            </c:numRef>
          </c:val>
          <c:extLst xmlns:c16r2="http://schemas.microsoft.com/office/drawing/2015/06/chart">
            <c:ext xmlns:c16="http://schemas.microsoft.com/office/drawing/2014/chart" uri="{C3380CC4-5D6E-409C-BE32-E72D297353CC}">
              <c16:uniqueId val="{00000013-8B72-49B7-B7AF-3E7B0E2357AD}"/>
            </c:ext>
          </c:extLst>
        </c:ser>
        <c:gapWidth val="182"/>
        <c:axId val="106167680"/>
        <c:axId val="106181760"/>
      </c:barChart>
      <c:catAx>
        <c:axId val="106167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181760"/>
        <c:crosses val="autoZero"/>
        <c:auto val="1"/>
        <c:lblAlgn val="ctr"/>
        <c:lblOffset val="100"/>
      </c:catAx>
      <c:valAx>
        <c:axId val="1061817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crossAx val="1061676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БРВ</a:t>
            </a:r>
          </a:p>
        </c:rich>
      </c:tx>
      <c:layout>
        <c:manualLayout>
          <c:xMode val="edge"/>
          <c:yMode val="edge"/>
          <c:x val="0.43656824146981893"/>
          <c:y val="2.7777777777778092E-2"/>
        </c:manualLayout>
      </c:layout>
      <c:spPr>
        <a:noFill/>
        <a:ln>
          <a:noFill/>
        </a:ln>
        <a:effectLst/>
      </c:spPr>
    </c:title>
    <c:plotArea>
      <c:layout>
        <c:manualLayout>
          <c:layoutTarget val="inner"/>
          <c:xMode val="edge"/>
          <c:yMode val="edge"/>
          <c:x val="8.5113918051910181E-2"/>
          <c:y val="0.1352777777777778"/>
          <c:w val="0.87784904491105364"/>
          <c:h val="0.69385576802899662"/>
        </c:manualLayout>
      </c:layout>
      <c:barChart>
        <c:barDir val="col"/>
        <c:grouping val="clustered"/>
        <c:ser>
          <c:idx val="0"/>
          <c:order val="0"/>
          <c:tx>
            <c:strRef>
              <c:f>Лист1!$B$1</c:f>
              <c:strCache>
                <c:ptCount val="1"/>
                <c:pt idx="0">
                  <c:v>до 12 мес</c:v>
                </c:pt>
              </c:strCache>
            </c:strRef>
          </c:tx>
          <c:spPr>
            <a:solidFill>
              <a:schemeClr val="accent1"/>
            </a:solidFill>
            <a:ln>
              <a:noFill/>
            </a:ln>
            <a:effectLst/>
          </c:spPr>
          <c:dLbls>
            <c:dLbl>
              <c:idx val="0"/>
              <c:tx>
                <c:rich>
                  <a:bodyPr/>
                  <a:lstStyle/>
                  <a:p>
                    <a:r>
                      <a:rPr lang="en-US"/>
                      <a:t>100%</a:t>
                    </a:r>
                  </a:p>
                </c:rich>
              </c:tx>
              <c:showVal val="1"/>
            </c:dLbl>
            <c:dLbl>
              <c:idx val="1"/>
              <c:tx>
                <c:rich>
                  <a:bodyPr/>
                  <a:lstStyle/>
                  <a:p>
                    <a:r>
                      <a:rPr lang="en-US"/>
                      <a:t>100%</a:t>
                    </a:r>
                  </a:p>
                </c:rich>
              </c:tx>
              <c:showVal val="1"/>
            </c:dLbl>
            <c:dLbl>
              <c:idx val="2"/>
              <c:layout>
                <c:manualLayout>
                  <c:x val="-3.0092592592592591E-2"/>
                  <c:y val="3.5714285714285712E-2"/>
                </c:manualLayout>
              </c:layout>
              <c:tx>
                <c:rich>
                  <a:bodyPr/>
                  <a:lstStyle/>
                  <a:p>
                    <a:r>
                      <a:rPr lang="uz-Cyrl-UZ"/>
                      <a:t>100</a:t>
                    </a:r>
                    <a:r>
                      <a:rPr lang="en-US"/>
                      <a:t>%</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37-471F-A30D-8D865D1B7B87}"/>
                </c:ext>
              </c:extLst>
            </c:dLbl>
            <c:dLbl>
              <c:idx val="3"/>
              <c:layout>
                <c:manualLayout>
                  <c:x val="-2.0833333333333412E-2"/>
                  <c:y val="0.12301587301587302"/>
                </c:manualLayout>
              </c:layout>
              <c:tx>
                <c:rich>
                  <a:bodyPr/>
                  <a:lstStyle/>
                  <a:p>
                    <a:r>
                      <a:rPr lang="en-US"/>
                      <a:t>100%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37-471F-A30D-8D865D1B7B87}"/>
                </c:ext>
              </c:extLst>
            </c:dLbl>
            <c:dLbl>
              <c:idx val="4"/>
              <c:layout>
                <c:manualLayout>
                  <c:x val="-4.6296296296295504E-3"/>
                  <c:y val="0.10317460317460322"/>
                </c:manualLayout>
              </c:layout>
              <c:tx>
                <c:rich>
                  <a:bodyPr/>
                  <a:lstStyle/>
                  <a:p>
                    <a:r>
                      <a:rPr lang="en-US"/>
                      <a:t>100%</a:t>
                    </a:r>
                  </a:p>
                </c:rich>
              </c:tx>
              <c:showVal val="1"/>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Лист1!$B$2:$B$7</c:f>
              <c:numCache>
                <c:formatCode>0.00%</c:formatCode>
                <c:ptCount val="6"/>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3-4637-471F-A30D-8D865D1B7B87}"/>
            </c:ext>
          </c:extLst>
        </c:ser>
        <c:ser>
          <c:idx val="1"/>
          <c:order val="1"/>
          <c:tx>
            <c:strRef>
              <c:f>Лист1!$C$1</c:f>
              <c:strCache>
                <c:ptCount val="1"/>
                <c:pt idx="0">
                  <c:v>до 36 мес</c:v>
                </c:pt>
              </c:strCache>
            </c:strRef>
          </c:tx>
          <c:spPr>
            <a:solidFill>
              <a:schemeClr val="accent6"/>
            </a:solidFill>
            <a:ln>
              <a:noFill/>
            </a:ln>
            <a:effectLst/>
          </c:spPr>
          <c:dPt>
            <c:idx val="0"/>
            <c:spPr>
              <a:solidFill>
                <a:srgbClr val="FFFF00"/>
              </a:solidFill>
              <a:ln>
                <a:noFill/>
              </a:ln>
              <a:effectLst/>
            </c:spPr>
            <c:extLst xmlns:c16r2="http://schemas.microsoft.com/office/drawing/2015/06/chart">
              <c:ext xmlns:c16="http://schemas.microsoft.com/office/drawing/2014/chart" uri="{C3380CC4-5D6E-409C-BE32-E72D297353CC}">
                <c16:uniqueId val="{00000005-4637-471F-A30D-8D865D1B7B87}"/>
              </c:ext>
            </c:extLst>
          </c:dPt>
          <c:dPt>
            <c:idx val="1"/>
            <c:spPr>
              <a:solidFill>
                <a:srgbClr val="FFFF00"/>
              </a:solidFill>
              <a:ln>
                <a:noFill/>
              </a:ln>
              <a:effectLst/>
            </c:spPr>
            <c:extLst xmlns:c16r2="http://schemas.microsoft.com/office/drawing/2015/06/chart">
              <c:ext xmlns:c16="http://schemas.microsoft.com/office/drawing/2014/chart" uri="{C3380CC4-5D6E-409C-BE32-E72D297353CC}">
                <c16:uniqueId val="{00000007-4637-471F-A30D-8D865D1B7B87}"/>
              </c:ext>
            </c:extLst>
          </c:dPt>
          <c:dPt>
            <c:idx val="2"/>
            <c:spPr>
              <a:solidFill>
                <a:srgbClr val="FFFF00"/>
              </a:solidFill>
              <a:ln>
                <a:noFill/>
              </a:ln>
              <a:effectLst/>
            </c:spPr>
            <c:extLst xmlns:c16r2="http://schemas.microsoft.com/office/drawing/2015/06/chart">
              <c:ext xmlns:c16="http://schemas.microsoft.com/office/drawing/2014/chart" uri="{C3380CC4-5D6E-409C-BE32-E72D297353CC}">
                <c16:uniqueId val="{00000009-4637-471F-A30D-8D865D1B7B87}"/>
              </c:ext>
            </c:extLst>
          </c:dPt>
          <c:dPt>
            <c:idx val="3"/>
            <c:spPr>
              <a:solidFill>
                <a:srgbClr val="FFFF00"/>
              </a:solidFill>
              <a:ln>
                <a:noFill/>
              </a:ln>
              <a:effectLst/>
            </c:spPr>
            <c:extLst xmlns:c16r2="http://schemas.microsoft.com/office/drawing/2015/06/chart">
              <c:ext xmlns:c16="http://schemas.microsoft.com/office/drawing/2014/chart" uri="{C3380CC4-5D6E-409C-BE32-E72D297353CC}">
                <c16:uniqueId val="{0000000B-4637-471F-A30D-8D865D1B7B87}"/>
              </c:ext>
            </c:extLst>
          </c:dPt>
          <c:dPt>
            <c:idx val="4"/>
            <c:spPr>
              <a:solidFill>
                <a:srgbClr val="FFFF00"/>
              </a:solidFill>
              <a:ln>
                <a:noFill/>
              </a:ln>
              <a:effectLst/>
            </c:spPr>
            <c:extLst xmlns:c16r2="http://schemas.microsoft.com/office/drawing/2015/06/chart">
              <c:ext xmlns:c16="http://schemas.microsoft.com/office/drawing/2014/chart" uri="{C3380CC4-5D6E-409C-BE32-E72D297353CC}">
                <c16:uniqueId val="{0000000D-4637-471F-A30D-8D865D1B7B87}"/>
              </c:ext>
            </c:extLst>
          </c:dPt>
          <c:dLbls>
            <c:dLbl>
              <c:idx val="0"/>
              <c:tx>
                <c:rich>
                  <a:bodyPr/>
                  <a:lstStyle/>
                  <a:p>
                    <a:r>
                      <a:rPr lang="en-US"/>
                      <a:t>28,6%</a:t>
                    </a:r>
                  </a:p>
                </c:rich>
              </c:tx>
              <c:showVal val="1"/>
            </c:dLbl>
            <c:dLbl>
              <c:idx val="1"/>
              <c:tx>
                <c:rich>
                  <a:bodyPr/>
                  <a:lstStyle/>
                  <a:p>
                    <a:r>
                      <a:rPr lang="en-US"/>
                      <a:t>25,5%</a:t>
                    </a:r>
                  </a:p>
                </c:rich>
              </c:tx>
              <c:showVal val="1"/>
            </c:dLbl>
            <c:dLbl>
              <c:idx val="2"/>
              <c:tx>
                <c:rich>
                  <a:bodyPr/>
                  <a:lstStyle/>
                  <a:p>
                    <a:r>
                      <a:rPr lang="en-US"/>
                      <a:t>0%</a:t>
                    </a:r>
                  </a:p>
                </c:rich>
              </c:tx>
              <c:showVal val="1"/>
            </c:dLbl>
            <c:dLbl>
              <c:idx val="3"/>
              <c:layout>
                <c:manualLayout>
                  <c:x val="-8.4875562720135872E-17"/>
                  <c:y val="-9.1269841269841251E-2"/>
                </c:manualLayout>
              </c:layout>
              <c:tx>
                <c:rich>
                  <a:bodyPr/>
                  <a:lstStyle/>
                  <a:p>
                    <a:r>
                      <a:rPr lang="en-US"/>
                      <a:t>100%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37-471F-A30D-8D865D1B7B87}"/>
                </c:ext>
              </c:extLst>
            </c:dLbl>
            <c:dLbl>
              <c:idx val="4"/>
              <c:tx>
                <c:rich>
                  <a:bodyPr/>
                  <a:lstStyle/>
                  <a:p>
                    <a:r>
                      <a:rPr lang="en-US"/>
                      <a:t>100%</a:t>
                    </a:r>
                  </a:p>
                </c:rich>
              </c:tx>
              <c:showVal val="1"/>
            </c:dLbl>
            <c:dLbl>
              <c:idx val="5"/>
              <c:delete val="1"/>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Лист1!$C$2:$C$7</c:f>
              <c:numCache>
                <c:formatCode>0.00%</c:formatCode>
                <c:ptCount val="6"/>
                <c:pt idx="0">
                  <c:v>0.28600000000000031</c:v>
                </c:pt>
                <c:pt idx="1">
                  <c:v>0.255</c:v>
                </c:pt>
                <c:pt idx="2">
                  <c:v>0</c:v>
                </c:pt>
                <c:pt idx="3">
                  <c:v>1</c:v>
                </c:pt>
                <c:pt idx="4">
                  <c:v>1</c:v>
                </c:pt>
                <c:pt idx="5" formatCode="General">
                  <c:v>0</c:v>
                </c:pt>
              </c:numCache>
            </c:numRef>
          </c:val>
          <c:extLst xmlns:c16r2="http://schemas.microsoft.com/office/drawing/2015/06/chart">
            <c:ext xmlns:c16="http://schemas.microsoft.com/office/drawing/2014/chart" uri="{C3380CC4-5D6E-409C-BE32-E72D297353CC}">
              <c16:uniqueId val="{0000000E-4637-471F-A30D-8D865D1B7B87}"/>
            </c:ext>
          </c:extLst>
        </c:ser>
        <c:ser>
          <c:idx val="2"/>
          <c:order val="2"/>
          <c:tx>
            <c:strRef>
              <c:f>Лист1!$D$1</c:f>
              <c:strCache>
                <c:ptCount val="1"/>
                <c:pt idx="0">
                  <c:v>до 60 мес и более</c:v>
                </c:pt>
              </c:strCache>
            </c:strRef>
          </c:tx>
          <c:spPr>
            <a:solidFill>
              <a:schemeClr val="accent3"/>
            </a:solidFill>
            <a:ln>
              <a:noFill/>
            </a:ln>
            <a:effectLst/>
          </c:spPr>
          <c:dLbls>
            <c:dLbl>
              <c:idx val="0"/>
              <c:layout>
                <c:manualLayout>
                  <c:x val="4.629629629629684E-3"/>
                  <c:y val="-3.637524116577247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637-471F-A30D-8D865D1B7B87}"/>
                </c:ext>
              </c:extLst>
            </c:dLbl>
            <c:dLbl>
              <c:idx val="1"/>
              <c:layout>
                <c:manualLayout>
                  <c:x val="4.6296296296296606E-3"/>
                  <c:y val="7.2414698162729912E-2"/>
                </c:manualLayout>
              </c:layout>
              <c:tx>
                <c:rich>
                  <a:bodyPr/>
                  <a:lstStyle/>
                  <a:p>
                    <a:r>
                      <a:rPr lang="en-US"/>
                      <a:t>87,5%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637-471F-A30D-8D865D1B7B87}"/>
                </c:ext>
              </c:extLst>
            </c:dLbl>
            <c:dLbl>
              <c:idx val="2"/>
              <c:layout>
                <c:manualLayout>
                  <c:x val="-8.4875562720135872E-17"/>
                  <c:y val="-0.126984126984126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637-471F-A30D-8D865D1B7B87}"/>
                </c:ext>
              </c:extLst>
            </c:dLbl>
            <c:dLbl>
              <c:idx val="3"/>
              <c:layout>
                <c:manualLayout>
                  <c:x val="1.8518518518518583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637-471F-A30D-8D865D1B7B87}"/>
                </c:ext>
              </c:extLst>
            </c:dLbl>
            <c:dLbl>
              <c:idx val="4"/>
              <c:layout>
                <c:manualLayout>
                  <c:x val="9.2592592592592692E-3"/>
                  <c:y val="-9.12698412698413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637-471F-A30D-8D865D1B7B8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IgGκ</c:v>
                </c:pt>
                <c:pt idx="1">
                  <c:v>IgGλ</c:v>
                </c:pt>
                <c:pt idx="2">
                  <c:v>IgАκ</c:v>
                </c:pt>
                <c:pt idx="3">
                  <c:v>IgAλ</c:v>
                </c:pt>
                <c:pt idx="4">
                  <c:v>редкие варианты</c:v>
                </c:pt>
              </c:strCache>
            </c:strRef>
          </c:cat>
          <c:val>
            <c:numRef>
              <c:f>Лист1!$D$2:$D$7</c:f>
              <c:numCache>
                <c:formatCode>0.00%</c:formatCode>
                <c:ptCount val="6"/>
                <c:pt idx="0">
                  <c:v>0.71400000000000063</c:v>
                </c:pt>
                <c:pt idx="1">
                  <c:v>0.87500000000000222</c:v>
                </c:pt>
                <c:pt idx="2" formatCode="0%">
                  <c:v>0</c:v>
                </c:pt>
                <c:pt idx="3" formatCode="0%">
                  <c:v>1</c:v>
                </c:pt>
              </c:numCache>
            </c:numRef>
          </c:val>
          <c:extLst xmlns:c16r2="http://schemas.microsoft.com/office/drawing/2015/06/chart">
            <c:ext xmlns:c16="http://schemas.microsoft.com/office/drawing/2014/chart" uri="{C3380CC4-5D6E-409C-BE32-E72D297353CC}">
              <c16:uniqueId val="{00000014-4637-471F-A30D-8D865D1B7B87}"/>
            </c:ext>
          </c:extLst>
        </c:ser>
        <c:gapWidth val="182"/>
        <c:axId val="116356992"/>
        <c:axId val="116358528"/>
      </c:barChart>
      <c:catAx>
        <c:axId val="116356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358528"/>
        <c:crosses val="autoZero"/>
        <c:auto val="1"/>
        <c:lblAlgn val="ctr"/>
        <c:lblOffset val="100"/>
      </c:catAx>
      <c:valAx>
        <c:axId val="11635852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356992"/>
        <c:crosses val="autoZero"/>
        <c:crossBetween val="between"/>
      </c:valAx>
      <c:spPr>
        <a:noFill/>
        <a:ln>
          <a:noFill/>
        </a:ln>
        <a:effectLst/>
      </c:spPr>
    </c:plotArea>
    <c:legend>
      <c:legendPos val="b"/>
      <c:layout>
        <c:manualLayout>
          <c:xMode val="edge"/>
          <c:yMode val="edge"/>
          <c:x val="0.11710757509477981"/>
          <c:y val="0.95684476940382501"/>
          <c:w val="0.88289242490522002"/>
          <c:h val="4.315523059617546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БРВ</a:t>
            </a:r>
          </a:p>
        </c:rich>
      </c:tx>
      <c:layout>
        <c:manualLayout>
          <c:xMode val="edge"/>
          <c:yMode val="edge"/>
          <c:x val="0.43656824146981876"/>
          <c:y val="2.7777777777778064E-2"/>
        </c:manualLayout>
      </c:layout>
      <c:spPr>
        <a:noFill/>
        <a:ln>
          <a:noFill/>
        </a:ln>
        <a:effectLst/>
      </c:spPr>
    </c:title>
    <c:plotArea>
      <c:layout>
        <c:manualLayout>
          <c:layoutTarget val="inner"/>
          <c:xMode val="edge"/>
          <c:yMode val="edge"/>
          <c:x val="0.11390305344767362"/>
          <c:y val="0.17099206349206425"/>
          <c:w val="0.84676630300660649"/>
          <c:h val="0.59606455443069617"/>
        </c:manualLayout>
      </c:layout>
      <c:barChart>
        <c:barDir val="col"/>
        <c:grouping val="clustered"/>
        <c:ser>
          <c:idx val="0"/>
          <c:order val="0"/>
          <c:tx>
            <c:strRef>
              <c:f>Лист1!$B$1</c:f>
              <c:strCache>
                <c:ptCount val="1"/>
                <c:pt idx="0">
                  <c:v>до 12 мес</c:v>
                </c:pt>
              </c:strCache>
            </c:strRef>
          </c:tx>
          <c:spPr>
            <a:solidFill>
              <a:schemeClr val="accent1"/>
            </a:solidFill>
            <a:ln>
              <a:noFill/>
            </a:ln>
            <a:effectLst/>
          </c:spPr>
          <c:dLbls>
            <c:dLbl>
              <c:idx val="0"/>
              <c:tx>
                <c:rich>
                  <a:bodyPr/>
                  <a:lstStyle/>
                  <a:p>
                    <a:r>
                      <a:rPr lang="en-US"/>
                      <a:t>46%</a:t>
                    </a:r>
                  </a:p>
                </c:rich>
              </c:tx>
              <c:showVal val="1"/>
            </c:dLbl>
            <c:dLbl>
              <c:idx val="1"/>
              <c:layout>
                <c:manualLayout>
                  <c:x val="1.2290826108037362E-2"/>
                  <c:y val="-4.3650793650793704E-2"/>
                </c:manualLayout>
              </c:layout>
              <c:tx>
                <c:rich>
                  <a:bodyPr/>
                  <a:lstStyle/>
                  <a:p>
                    <a:r>
                      <a:rPr lang="en-US"/>
                      <a:t>0%</a:t>
                    </a:r>
                  </a:p>
                </c:rich>
              </c:tx>
              <c:showVal val="1"/>
            </c:dLbl>
            <c:dLbl>
              <c:idx val="2"/>
              <c:layout>
                <c:manualLayout>
                  <c:x val="9.2380558816441832E-3"/>
                  <c:y val="-0.12301618547681578"/>
                </c:manualLayout>
              </c:layout>
              <c:tx>
                <c:rich>
                  <a:bodyPr/>
                  <a:lstStyle/>
                  <a:p>
                    <a:r>
                      <a:rPr lang="en-US"/>
                      <a:t>5,7%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E1-456E-B3AA-D176B954A2FF}"/>
                </c:ext>
              </c:extLst>
            </c:dLbl>
            <c:dLbl>
              <c:idx val="3"/>
              <c:layout>
                <c:manualLayout>
                  <c:x val="2.4575845526574984E-3"/>
                  <c:y val="-9.5238095238095247E-2"/>
                </c:manualLayout>
              </c:layout>
              <c:tx>
                <c:rich>
                  <a:bodyPr/>
                  <a:lstStyle/>
                  <a:p>
                    <a:r>
                      <a:rPr lang="en-US"/>
                      <a:t>10,3%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E1-456E-B3AA-D176B954A2FF}"/>
                </c:ext>
              </c:extLst>
            </c:dLbl>
            <c:dLbl>
              <c:idx val="4"/>
              <c:layout>
                <c:manualLayout>
                  <c:x val="1.0898575522287565E-2"/>
                  <c:y val="-7.5396825396825434E-2"/>
                </c:manualLayout>
              </c:layout>
              <c:tx>
                <c:rich>
                  <a:bodyPr/>
                  <a:lstStyle/>
                  <a:p>
                    <a:r>
                      <a:rPr lang="en-US"/>
                      <a:t>13,8%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E1-456E-B3AA-D176B954A2FF}"/>
                </c:ext>
              </c:extLst>
            </c:dLbl>
            <c:dLbl>
              <c:idx val="5"/>
              <c:tx>
                <c:rich>
                  <a:bodyPr/>
                  <a:lstStyle/>
                  <a:p>
                    <a:r>
                      <a:rPr lang="en-US"/>
                      <a:t>94,3%</a:t>
                    </a:r>
                  </a:p>
                </c:rich>
              </c:tx>
              <c:showVal val="1"/>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IgGκ</c:v>
                </c:pt>
                <c:pt idx="1">
                  <c:v>IgGλ</c:v>
                </c:pt>
                <c:pt idx="2">
                  <c:v>IgАκ</c:v>
                </c:pt>
                <c:pt idx="3">
                  <c:v>IgAλ</c:v>
                </c:pt>
                <c:pt idx="4">
                  <c:v>редкие варианты</c:v>
                </c:pt>
                <c:pt idx="5">
                  <c:v>ВСЕГО</c:v>
                </c:pt>
              </c:strCache>
            </c:strRef>
          </c:cat>
          <c:val>
            <c:numRef>
              <c:f>Лист1!$B$2:$B$7</c:f>
              <c:numCache>
                <c:formatCode>0.00%</c:formatCode>
                <c:ptCount val="6"/>
                <c:pt idx="0">
                  <c:v>0.46</c:v>
                </c:pt>
                <c:pt idx="1">
                  <c:v>0</c:v>
                </c:pt>
                <c:pt idx="2">
                  <c:v>5.7000000000000023E-2</c:v>
                </c:pt>
                <c:pt idx="3">
                  <c:v>0.10299999999999998</c:v>
                </c:pt>
                <c:pt idx="4">
                  <c:v>0.13800000000000001</c:v>
                </c:pt>
                <c:pt idx="5">
                  <c:v>0.94299999999999995</c:v>
                </c:pt>
              </c:numCache>
            </c:numRef>
          </c:val>
          <c:extLst xmlns:c16r2="http://schemas.microsoft.com/office/drawing/2015/06/chart">
            <c:ext xmlns:c16="http://schemas.microsoft.com/office/drawing/2014/chart" uri="{C3380CC4-5D6E-409C-BE32-E72D297353CC}">
              <c16:uniqueId val="{00000003-C5E1-456E-B3AA-D176B954A2FF}"/>
            </c:ext>
          </c:extLst>
        </c:ser>
        <c:ser>
          <c:idx val="1"/>
          <c:order val="1"/>
          <c:tx>
            <c:strRef>
              <c:f>Лист1!$C$1</c:f>
              <c:strCache>
                <c:ptCount val="1"/>
                <c:pt idx="0">
                  <c:v>до 36 мес</c:v>
                </c:pt>
              </c:strCache>
            </c:strRef>
          </c:tx>
          <c:spPr>
            <a:solidFill>
              <a:srgbClr val="70AD47"/>
            </a:solidFill>
            <a:ln>
              <a:noFill/>
            </a:ln>
            <a:effectLst/>
          </c:spPr>
          <c:dLbls>
            <c:dLbl>
              <c:idx val="0"/>
              <c:tx>
                <c:rich>
                  <a:bodyPr/>
                  <a:lstStyle/>
                  <a:p>
                    <a:r>
                      <a:rPr lang="en-US"/>
                      <a:t>26,4%</a:t>
                    </a:r>
                  </a:p>
                </c:rich>
              </c:tx>
              <c:showVal val="1"/>
            </c:dLbl>
            <c:dLbl>
              <c:idx val="1"/>
              <c:layout>
                <c:manualLayout>
                  <c:x val="3.4414313102504611E-2"/>
                  <c:y val="2.3809523809523812E-2"/>
                </c:manualLayout>
              </c:layout>
              <c:tx>
                <c:rich>
                  <a:bodyPr/>
                  <a:lstStyle/>
                  <a:p>
                    <a:r>
                      <a:rPr lang="en-US"/>
                      <a:t>12,6%</a:t>
                    </a:r>
                  </a:p>
                </c:rich>
              </c:tx>
              <c:showVal val="1"/>
            </c:dLbl>
            <c:dLbl>
              <c:idx val="2"/>
              <c:layout>
                <c:manualLayout>
                  <c:x val="-4.9163304432149491E-3"/>
                  <c:y val="-1.1904761904761843E-2"/>
                </c:manualLayout>
              </c:layout>
              <c:tx>
                <c:rich>
                  <a:bodyPr/>
                  <a:lstStyle/>
                  <a:p>
                    <a:r>
                      <a:rPr lang="en-US"/>
                      <a:t>4,6%</a:t>
                    </a:r>
                  </a:p>
                </c:rich>
              </c:tx>
              <c:showVal val="1"/>
            </c:dLbl>
            <c:dLbl>
              <c:idx val="3"/>
              <c:layout>
                <c:manualLayout>
                  <c:x val="2.9497595546656281E-2"/>
                  <c:y val="3.9682539682540452E-3"/>
                </c:manualLayout>
              </c:layout>
              <c:tx>
                <c:rich>
                  <a:bodyPr/>
                  <a:lstStyle/>
                  <a:p>
                    <a:r>
                      <a:rPr lang="en-US"/>
                      <a:t>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E1-456E-B3AA-D176B954A2FF}"/>
                </c:ext>
              </c:extLst>
            </c:dLbl>
            <c:dLbl>
              <c:idx val="4"/>
              <c:layout>
                <c:manualLayout>
                  <c:x val="2.7039817437682342E-2"/>
                  <c:y val="-1.9841269841269826E-2"/>
                </c:manualLayout>
              </c:layout>
              <c:tx>
                <c:rich>
                  <a:bodyPr/>
                  <a:lstStyle/>
                  <a:p>
                    <a:r>
                      <a:rPr lang="en-US"/>
                      <a:t>4,6%</a:t>
                    </a:r>
                  </a:p>
                </c:rich>
              </c:tx>
              <c:showVal val="1"/>
            </c:dLbl>
            <c:dLbl>
              <c:idx val="5"/>
              <c:tx>
                <c:rich>
                  <a:bodyPr/>
                  <a:lstStyle/>
                  <a:p>
                    <a:r>
                      <a:rPr lang="en-US"/>
                      <a:t>56,3%</a:t>
                    </a:r>
                  </a:p>
                </c:rich>
              </c:tx>
              <c:showVal val="1"/>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IgGκ</c:v>
                </c:pt>
                <c:pt idx="1">
                  <c:v>IgGλ</c:v>
                </c:pt>
                <c:pt idx="2">
                  <c:v>IgАκ</c:v>
                </c:pt>
                <c:pt idx="3">
                  <c:v>IgAλ</c:v>
                </c:pt>
                <c:pt idx="4">
                  <c:v>редкие варианты</c:v>
                </c:pt>
                <c:pt idx="5">
                  <c:v>ВСЕГО</c:v>
                </c:pt>
              </c:strCache>
            </c:strRef>
          </c:cat>
          <c:val>
            <c:numRef>
              <c:f>Лист1!$C$2:$C$7</c:f>
              <c:numCache>
                <c:formatCode>0.00%</c:formatCode>
                <c:ptCount val="6"/>
                <c:pt idx="0">
                  <c:v>0.26400000000000001</c:v>
                </c:pt>
                <c:pt idx="1">
                  <c:v>0.126</c:v>
                </c:pt>
                <c:pt idx="2">
                  <c:v>4.5999999999999999E-2</c:v>
                </c:pt>
                <c:pt idx="3">
                  <c:v>8.0000000000000043E-2</c:v>
                </c:pt>
                <c:pt idx="4">
                  <c:v>4.5999999999999999E-2</c:v>
                </c:pt>
                <c:pt idx="5">
                  <c:v>0.56299999999999994</c:v>
                </c:pt>
              </c:numCache>
            </c:numRef>
          </c:val>
          <c:extLst xmlns:c16r2="http://schemas.microsoft.com/office/drawing/2015/06/chart">
            <c:ext xmlns:c16="http://schemas.microsoft.com/office/drawing/2014/chart" uri="{C3380CC4-5D6E-409C-BE32-E72D297353CC}">
              <c16:uniqueId val="{00000006-C5E1-456E-B3AA-D176B954A2FF}"/>
            </c:ext>
          </c:extLst>
        </c:ser>
        <c:ser>
          <c:idx val="2"/>
          <c:order val="2"/>
          <c:tx>
            <c:strRef>
              <c:f>Лист1!$D$1</c:f>
              <c:strCache>
                <c:ptCount val="1"/>
                <c:pt idx="0">
                  <c:v>до 60 мес и более</c:v>
                </c:pt>
              </c:strCache>
            </c:strRef>
          </c:tx>
          <c:spPr>
            <a:solidFill>
              <a:schemeClr val="accent3"/>
            </a:solidFill>
            <a:ln>
              <a:noFill/>
            </a:ln>
            <a:effectLst/>
          </c:spPr>
          <c:dLbls>
            <c:dLbl>
              <c:idx val="0"/>
              <c:layout>
                <c:manualLayout>
                  <c:x val="7.3744956648223994E-3"/>
                  <c:y val="5.9523809523809507E-2"/>
                </c:manualLayout>
              </c:layout>
              <c:tx>
                <c:rich>
                  <a:bodyPr/>
                  <a:lstStyle/>
                  <a:p>
                    <a:r>
                      <a:rPr lang="en-US"/>
                      <a:t>4,6%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E1-456E-B3AA-D176B954A2FF}"/>
                </c:ext>
              </c:extLst>
            </c:dLbl>
            <c:dLbl>
              <c:idx val="1"/>
              <c:layout>
                <c:manualLayout>
                  <c:x val="2.3864913175475292E-2"/>
                  <c:y val="7.9365079365079361E-2"/>
                </c:manualLayout>
              </c:layout>
              <c:tx>
                <c:rich>
                  <a:bodyPr/>
                  <a:lstStyle/>
                  <a:p>
                    <a:r>
                      <a:rPr lang="en-US"/>
                      <a:t>11,5%</a:t>
                    </a:r>
                  </a:p>
                </c:rich>
              </c:tx>
              <c:showVal val="1"/>
            </c:dLbl>
            <c:dLbl>
              <c:idx val="2"/>
              <c:layout>
                <c:manualLayout>
                  <c:x val="9.8326608864298913E-3"/>
                  <c:y val="2.7777465316835406E-2"/>
                </c:manualLayout>
              </c:layout>
              <c:showVal val="1"/>
            </c:dLbl>
            <c:dLbl>
              <c:idx val="3"/>
              <c:layout>
                <c:manualLayout>
                  <c:x val="1.796589731256739E-2"/>
                  <c:y val="4.36504811898513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5E1-456E-B3AA-D176B954A2FF}"/>
                </c:ext>
              </c:extLst>
            </c:dLbl>
            <c:dLbl>
              <c:idx val="4"/>
              <c:layout>
                <c:manualLayout>
                  <c:x val="6.8011133564056733E-3"/>
                  <c:y val="1.98412698412699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5E1-456E-B3AA-D176B954A2FF}"/>
                </c:ext>
              </c:extLst>
            </c:dLbl>
            <c:dLbl>
              <c:idx val="5"/>
              <c:tx>
                <c:rich>
                  <a:bodyPr/>
                  <a:lstStyle/>
                  <a:p>
                    <a:r>
                      <a:rPr lang="en-US"/>
                      <a:t>25,3%</a:t>
                    </a:r>
                  </a:p>
                </c:rich>
              </c:tx>
              <c:showVal val="1"/>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IgGκ</c:v>
                </c:pt>
                <c:pt idx="1">
                  <c:v>IgGλ</c:v>
                </c:pt>
                <c:pt idx="2">
                  <c:v>IgАκ</c:v>
                </c:pt>
                <c:pt idx="3">
                  <c:v>IgAλ</c:v>
                </c:pt>
                <c:pt idx="4">
                  <c:v>редкие варианты</c:v>
                </c:pt>
                <c:pt idx="5">
                  <c:v>ВСЕГО</c:v>
                </c:pt>
              </c:strCache>
            </c:strRef>
          </c:cat>
          <c:val>
            <c:numRef>
              <c:f>Лист1!$D$2:$D$7</c:f>
              <c:numCache>
                <c:formatCode>0.00%</c:formatCode>
                <c:ptCount val="6"/>
                <c:pt idx="0">
                  <c:v>4.5999999999999999E-2</c:v>
                </c:pt>
                <c:pt idx="1">
                  <c:v>0.115</c:v>
                </c:pt>
                <c:pt idx="2" formatCode="0%">
                  <c:v>2.3E-2</c:v>
                </c:pt>
                <c:pt idx="3" formatCode="0%">
                  <c:v>5.7000000000000023E-2</c:v>
                </c:pt>
                <c:pt idx="4" formatCode="0%">
                  <c:v>1.0999999999999998E-2</c:v>
                </c:pt>
                <c:pt idx="5">
                  <c:v>0.253</c:v>
                </c:pt>
              </c:numCache>
            </c:numRef>
          </c:val>
          <c:extLst xmlns:c16r2="http://schemas.microsoft.com/office/drawing/2015/06/chart">
            <c:ext xmlns:c16="http://schemas.microsoft.com/office/drawing/2014/chart" uri="{C3380CC4-5D6E-409C-BE32-E72D297353CC}">
              <c16:uniqueId val="{0000000C-C5E1-456E-B3AA-D176B954A2FF}"/>
            </c:ext>
          </c:extLst>
        </c:ser>
        <c:gapWidth val="182"/>
        <c:axId val="116820608"/>
        <c:axId val="116916608"/>
      </c:barChart>
      <c:catAx>
        <c:axId val="116820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16608"/>
        <c:crosses val="autoZero"/>
        <c:auto val="1"/>
        <c:lblAlgn val="ctr"/>
        <c:lblOffset val="100"/>
      </c:catAx>
      <c:valAx>
        <c:axId val="1169166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crossAx val="1168206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БРВ</a:t>
            </a:r>
          </a:p>
        </c:rich>
      </c:tx>
      <c:layout>
        <c:manualLayout>
          <c:xMode val="edge"/>
          <c:yMode val="edge"/>
          <c:x val="0.43656824146981876"/>
          <c:y val="2.7777777777778064E-2"/>
        </c:manualLayout>
      </c:layout>
      <c:spPr>
        <a:noFill/>
        <a:ln>
          <a:noFill/>
        </a:ln>
        <a:effectLst/>
      </c:spPr>
    </c:title>
    <c:view3D>
      <c:perspective val="30"/>
    </c:view3D>
    <c:sideWall>
      <c:spPr>
        <a:noFill/>
        <a:ln>
          <a:noFill/>
        </a:ln>
        <a:effectLst/>
      </c:spPr>
    </c:sideWall>
    <c:backWall>
      <c:spPr>
        <a:noFill/>
        <a:ln>
          <a:noFill/>
        </a:ln>
        <a:effectLst/>
      </c:spPr>
    </c:backWall>
    <c:plotArea>
      <c:layout>
        <c:manualLayout>
          <c:layoutTarget val="inner"/>
          <c:xMode val="edge"/>
          <c:yMode val="edge"/>
          <c:x val="8.5113918051910181E-2"/>
          <c:y val="3.6071428571428789E-2"/>
          <c:w val="0.87784904491105364"/>
          <c:h val="0.81687164104486965"/>
        </c:manualLayout>
      </c:layout>
      <c:bar3DChart>
        <c:barDir val="col"/>
        <c:grouping val="clustered"/>
        <c:ser>
          <c:idx val="0"/>
          <c:order val="0"/>
          <c:tx>
            <c:strRef>
              <c:f>Лист1!$B$1</c:f>
              <c:strCache>
                <c:ptCount val="1"/>
                <c:pt idx="0">
                  <c:v>до 12 мес</c:v>
                </c:pt>
              </c:strCache>
            </c:strRef>
          </c:tx>
          <c:spPr>
            <a:solidFill>
              <a:schemeClr val="accent1"/>
            </a:solidFill>
            <a:ln>
              <a:noFill/>
            </a:ln>
            <a:effectLst/>
          </c:spPr>
          <c:dLbls>
            <c:dLbl>
              <c:idx val="0"/>
              <c:layout>
                <c:manualLayout>
                  <c:x val="9.2592592592593108E-3"/>
                  <c:y val="3.9682539682539793E-3"/>
                </c:manualLayout>
              </c:layout>
              <c:tx>
                <c:rich>
                  <a:bodyPr/>
                  <a:lstStyle/>
                  <a:p>
                    <a:r>
                      <a:rPr lang="en-US"/>
                      <a:t>35%</a:t>
                    </a:r>
                  </a:p>
                </c:rich>
              </c:tx>
              <c:showVal val="1"/>
            </c:dLbl>
            <c:dLbl>
              <c:idx val="1"/>
              <c:layout>
                <c:manualLayout>
                  <c:x val="2.3148148148148147E-3"/>
                  <c:y val="7.9365079365079413E-3"/>
                </c:manualLayout>
              </c:layout>
              <c:tx>
                <c:rich>
                  <a:bodyPr/>
                  <a:lstStyle/>
                  <a:p>
                    <a:r>
                      <a:rPr lang="en-US"/>
                      <a:t>40</a:t>
                    </a:r>
                  </a:p>
                </c:rich>
              </c:tx>
              <c:showVal val="1"/>
            </c:dLbl>
            <c:dLbl>
              <c:idx val="2"/>
              <c:layout>
                <c:manualLayout>
                  <c:x val="6.9442621755614201E-3"/>
                  <c:y val="1.1904761904761921E-2"/>
                </c:manualLayout>
              </c:layout>
              <c:tx>
                <c:rich>
                  <a:bodyPr/>
                  <a:lstStyle/>
                  <a:p>
                    <a:r>
                      <a:rPr lang="uz-Cyrl-UZ"/>
                      <a:t>5%</a:t>
                    </a:r>
                    <a:endParaRPr lang="en-US"/>
                  </a:p>
                </c:rich>
              </c:tx>
              <c:showVal val="1"/>
            </c:dLbl>
            <c:dLbl>
              <c:idx val="3"/>
              <c:delete val="1"/>
            </c:dLbl>
            <c:dLbl>
              <c:idx val="4"/>
              <c:layout>
                <c:manualLayout>
                  <c:x val="0.10185185185185186"/>
                  <c:y val="0"/>
                </c:manualLayout>
              </c:layout>
              <c:showVal val="1"/>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IgGκ</c:v>
                </c:pt>
                <c:pt idx="1">
                  <c:v>IgGλ</c:v>
                </c:pt>
                <c:pt idx="2">
                  <c:v>IgАκ</c:v>
                </c:pt>
                <c:pt idx="3">
                  <c:v>IgAλ</c:v>
                </c:pt>
                <c:pt idx="4">
                  <c:v>редкие варианты</c:v>
                </c:pt>
                <c:pt idx="5">
                  <c:v>Всего</c:v>
                </c:pt>
              </c:strCache>
            </c:strRef>
          </c:cat>
          <c:val>
            <c:numRef>
              <c:f>Лист1!$B$2:$B$7</c:f>
              <c:numCache>
                <c:formatCode>0.00%</c:formatCode>
                <c:ptCount val="6"/>
                <c:pt idx="0">
                  <c:v>0.35000000000000031</c:v>
                </c:pt>
                <c:pt idx="1">
                  <c:v>0.4</c:v>
                </c:pt>
                <c:pt idx="2">
                  <c:v>0.05</c:v>
                </c:pt>
                <c:pt idx="3">
                  <c:v>0.1</c:v>
                </c:pt>
                <c:pt idx="4">
                  <c:v>0.1</c:v>
                </c:pt>
                <c:pt idx="5">
                  <c:v>1</c:v>
                </c:pt>
              </c:numCache>
            </c:numRef>
          </c:val>
          <c:extLst xmlns:c16r2="http://schemas.microsoft.com/office/drawing/2015/06/chart">
            <c:ext xmlns:c16="http://schemas.microsoft.com/office/drawing/2014/chart" uri="{C3380CC4-5D6E-409C-BE32-E72D297353CC}">
              <c16:uniqueId val="{00000002-973C-4DA2-8FF2-8D6D17D306BD}"/>
            </c:ext>
          </c:extLst>
        </c:ser>
        <c:ser>
          <c:idx val="1"/>
          <c:order val="1"/>
          <c:tx>
            <c:strRef>
              <c:f>Лист1!$C$1</c:f>
              <c:strCache>
                <c:ptCount val="1"/>
                <c:pt idx="0">
                  <c:v>до 36 мес</c:v>
                </c:pt>
              </c:strCache>
            </c:strRef>
          </c:tx>
          <c:spPr>
            <a:solidFill>
              <a:srgbClr val="70AD47"/>
            </a:solidFill>
            <a:ln>
              <a:noFill/>
            </a:ln>
            <a:effectLst/>
          </c:spPr>
          <c:dLbls>
            <c:dLbl>
              <c:idx val="0"/>
              <c:layout>
                <c:manualLayout>
                  <c:x val="1.5046296296296295E-2"/>
                  <c:y val="2.1825396825396852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r>
                      <a:rPr lang="uz-Cyrl-UZ"/>
                      <a:t>30%</a:t>
                    </a:r>
                    <a:endParaRPr lang="en-US"/>
                  </a:p>
                </c:rich>
              </c:tx>
              <c:spPr>
                <a:noFill/>
                <a:ln>
                  <a:noFill/>
                </a:ln>
                <a:effectLst/>
              </c:spPr>
              <c:showVal val="1"/>
            </c:dLbl>
            <c:dLbl>
              <c:idx val="1"/>
              <c:layout>
                <c:manualLayout>
                  <c:x val="2.7777777777777922E-2"/>
                  <c:y val="1.5873015873015879E-2"/>
                </c:manualLayout>
              </c:layout>
              <c:tx>
                <c:rich>
                  <a:bodyPr/>
                  <a:lstStyle/>
                  <a:p>
                    <a:r>
                      <a:rPr lang="en-US"/>
                      <a:t>30%</a:t>
                    </a:r>
                  </a:p>
                </c:rich>
              </c:tx>
              <c:showVal val="1"/>
            </c:dLbl>
            <c:dLbl>
              <c:idx val="2"/>
              <c:layout>
                <c:manualLayout>
                  <c:x val="2.5462962962962982E-2"/>
                  <c:y val="1.5872703412073495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r>
                      <a:rPr lang="en-US"/>
                      <a:t>0%</a:t>
                    </a:r>
                  </a:p>
                </c:rich>
              </c:tx>
              <c:spPr>
                <a:noFill/>
                <a:ln>
                  <a:noFill/>
                </a:ln>
                <a:effectLst/>
              </c:spPr>
              <c:showVal val="1"/>
              <c:extLst xmlns:c16r2="http://schemas.microsoft.com/office/drawing/2015/06/chart">
                <c:ext xmlns:c15="http://schemas.microsoft.com/office/drawing/2012/chart" uri="{CE6537A1-D6FC-4f65-9D91-7224C49458BB}">
                  <c15:layout>
                    <c:manualLayout>
                      <c:w val="7.716444298629338E-2"/>
                      <c:h val="0.10091269841269841"/>
                    </c:manualLayout>
                  </c15:layout>
                </c:ext>
                <c:ext xmlns:c16="http://schemas.microsoft.com/office/drawing/2014/chart" uri="{C3380CC4-5D6E-409C-BE32-E72D297353CC}">
                  <c16:uniqueId val="{00000004-973C-4DA2-8FF2-8D6D17D306BD}"/>
                </c:ext>
              </c:extLst>
            </c:dLbl>
            <c:dLbl>
              <c:idx val="3"/>
              <c:layout>
                <c:manualLayout>
                  <c:x val="-8.4875562720135711E-17"/>
                  <c:y val="-9.12698412698412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3C-4DA2-8FF2-8D6D17D306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IgGκ</c:v>
                </c:pt>
                <c:pt idx="1">
                  <c:v>IgGλ</c:v>
                </c:pt>
                <c:pt idx="2">
                  <c:v>IgАκ</c:v>
                </c:pt>
                <c:pt idx="3">
                  <c:v>IgAλ</c:v>
                </c:pt>
                <c:pt idx="4">
                  <c:v>редкие варианты</c:v>
                </c:pt>
                <c:pt idx="5">
                  <c:v>Всего</c:v>
                </c:pt>
              </c:strCache>
            </c:strRef>
          </c:cat>
          <c:val>
            <c:numRef>
              <c:f>Лист1!$C$2:$C$7</c:f>
              <c:numCache>
                <c:formatCode>0.00%</c:formatCode>
                <c:ptCount val="6"/>
                <c:pt idx="0">
                  <c:v>0.30000000000000032</c:v>
                </c:pt>
                <c:pt idx="1">
                  <c:v>0.30000000000000032</c:v>
                </c:pt>
                <c:pt idx="2">
                  <c:v>0</c:v>
                </c:pt>
                <c:pt idx="3">
                  <c:v>0.1</c:v>
                </c:pt>
                <c:pt idx="4">
                  <c:v>0.1</c:v>
                </c:pt>
                <c:pt idx="5">
                  <c:v>0.8</c:v>
                </c:pt>
              </c:numCache>
            </c:numRef>
          </c:val>
          <c:extLst xmlns:c16r2="http://schemas.microsoft.com/office/drawing/2015/06/chart">
            <c:ext xmlns:c16="http://schemas.microsoft.com/office/drawing/2014/chart" uri="{C3380CC4-5D6E-409C-BE32-E72D297353CC}">
              <c16:uniqueId val="{00000006-973C-4DA2-8FF2-8D6D17D306BD}"/>
            </c:ext>
          </c:extLst>
        </c:ser>
        <c:ser>
          <c:idx val="2"/>
          <c:order val="2"/>
          <c:tx>
            <c:strRef>
              <c:f>Лист1!$D$1</c:f>
              <c:strCache>
                <c:ptCount val="1"/>
                <c:pt idx="0">
                  <c:v>до 60 мес и более</c:v>
                </c:pt>
              </c:strCache>
            </c:strRef>
          </c:tx>
          <c:spPr>
            <a:solidFill>
              <a:schemeClr val="accent3"/>
            </a:solidFill>
            <a:ln>
              <a:noFill/>
            </a:ln>
            <a:effectLst/>
          </c:spPr>
          <c:dLbls>
            <c:dLbl>
              <c:idx val="0"/>
              <c:layout>
                <c:manualLayout>
                  <c:x val="2.0833333333333412E-2"/>
                  <c:y val="1.9841269841269892E-2"/>
                </c:manualLayout>
              </c:layout>
              <c:tx>
                <c:rich>
                  <a:bodyPr/>
                  <a:lstStyle/>
                  <a:p>
                    <a:r>
                      <a:rPr lang="en-US"/>
                      <a:t>20%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3C-4DA2-8FF2-8D6D17D306BD}"/>
                </c:ext>
              </c:extLst>
            </c:dLbl>
            <c:dLbl>
              <c:idx val="1"/>
              <c:layout>
                <c:manualLayout>
                  <c:x val="1.1574074074074073E-2"/>
                  <c:y val="-0.1428571428571439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3C-4DA2-8FF2-8D6D17D306B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3C-4DA2-8FF2-8D6D17D306BD}"/>
                </c:ext>
              </c:extLst>
            </c:dLbl>
            <c:dLbl>
              <c:idx val="3"/>
              <c:layout>
                <c:manualLayout>
                  <c:x val="6.7129629629629539E-2"/>
                  <c:y val="3.96825396825389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3C-4DA2-8FF2-8D6D17D306BD}"/>
                </c:ext>
              </c:extLst>
            </c:dLbl>
            <c:dLbl>
              <c:idx val="4"/>
              <c:layout>
                <c:manualLayout>
                  <c:x val="9.2592592592592605E-3"/>
                  <c:y val="-9.12698412698413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73C-4DA2-8FF2-8D6D17D306B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IgGκ</c:v>
                </c:pt>
                <c:pt idx="1">
                  <c:v>IgGλ</c:v>
                </c:pt>
                <c:pt idx="2">
                  <c:v>IgАκ</c:v>
                </c:pt>
                <c:pt idx="3">
                  <c:v>IgAλ</c:v>
                </c:pt>
                <c:pt idx="4">
                  <c:v>редкие варианты</c:v>
                </c:pt>
                <c:pt idx="5">
                  <c:v>Всего</c:v>
                </c:pt>
              </c:strCache>
            </c:strRef>
          </c:cat>
          <c:val>
            <c:numRef>
              <c:f>Лист1!$D$2:$D$7</c:f>
              <c:numCache>
                <c:formatCode>0.00%</c:formatCode>
                <c:ptCount val="6"/>
                <c:pt idx="0">
                  <c:v>0.2</c:v>
                </c:pt>
                <c:pt idx="1">
                  <c:v>0.30000000000000032</c:v>
                </c:pt>
                <c:pt idx="2" formatCode="0%">
                  <c:v>0</c:v>
                </c:pt>
                <c:pt idx="3" formatCode="0%">
                  <c:v>0.1</c:v>
                </c:pt>
                <c:pt idx="4" formatCode="0%">
                  <c:v>0.1</c:v>
                </c:pt>
                <c:pt idx="5">
                  <c:v>0.70000000000000062</c:v>
                </c:pt>
              </c:numCache>
            </c:numRef>
          </c:val>
          <c:extLst xmlns:c16r2="http://schemas.microsoft.com/office/drawing/2015/06/chart">
            <c:ext xmlns:c16="http://schemas.microsoft.com/office/drawing/2014/chart" uri="{C3380CC4-5D6E-409C-BE32-E72D297353CC}">
              <c16:uniqueId val="{0000000C-973C-4DA2-8FF2-8D6D17D306BD}"/>
            </c:ext>
          </c:extLst>
        </c:ser>
        <c:gapWidth val="182"/>
        <c:shape val="cylinder"/>
        <c:axId val="117093120"/>
        <c:axId val="117094656"/>
        <c:axId val="0"/>
      </c:bar3DChart>
      <c:catAx>
        <c:axId val="117093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94656"/>
        <c:crosses val="autoZero"/>
        <c:auto val="1"/>
        <c:lblAlgn val="ctr"/>
        <c:lblOffset val="100"/>
      </c:catAx>
      <c:valAx>
        <c:axId val="1170946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93120"/>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ОВ</a:t>
            </a:r>
          </a:p>
        </c:rich>
      </c:tx>
      <c:layout>
        <c:manualLayout>
          <c:xMode val="edge"/>
          <c:yMode val="edge"/>
          <c:x val="0.43656824146981876"/>
          <c:y val="2.7777777777778064E-2"/>
        </c:manualLayout>
      </c:layout>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5113918051910181E-2"/>
          <c:y val="3.6071428571428789E-2"/>
          <c:w val="0.87784904491105364"/>
          <c:h val="0.83274465691789179"/>
        </c:manualLayout>
      </c:layout>
      <c:pie3DChart>
        <c:varyColors val="1"/>
        <c:ser>
          <c:idx val="0"/>
          <c:order val="0"/>
          <c:tx>
            <c:strRef>
              <c:f>Лист1!$B$1</c:f>
              <c:strCache>
                <c:ptCount val="1"/>
                <c:pt idx="0">
                  <c:v>А подгруппа</c:v>
                </c:pt>
              </c:strCache>
            </c:strRef>
          </c:tx>
          <c:spPr>
            <a:blipFill>
              <a:blip xmlns:r="http://schemas.openxmlformats.org/officeDocument/2006/relationships" r:embed="rId2"/>
              <a:tile tx="0" ty="0" sx="100000" sy="100000" flip="none" algn="tl"/>
            </a:blipFill>
          </c:spPr>
          <c:dPt>
            <c:idx val="0"/>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1-0840-41A5-BC3C-8E768D9B8DEF}"/>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3-0840-41A5-BC3C-8E768D9B8DEF}"/>
              </c:ext>
            </c:extLst>
          </c:dPt>
          <c:dPt>
            <c:idx val="2"/>
            <c:spPr>
              <a:blipFill dpi="0" rotWithShape="1">
                <a:blip xmlns:r="http://schemas.openxmlformats.org/officeDocument/2006/relationships" r:embed="rId3">
                  <a:alphaModFix amt="99000"/>
                </a:blip>
                <a:srcRect/>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5-0840-41A5-BC3C-8E768D9B8DEF}"/>
              </c:ext>
            </c:extLst>
          </c:dPt>
          <c:dPt>
            <c:idx val="3"/>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7-0840-41A5-BC3C-8E768D9B8DEF}"/>
              </c:ext>
            </c:extLst>
          </c:dPt>
          <c:dPt>
            <c:idx val="4"/>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9-0840-41A5-BC3C-8E768D9B8DEF}"/>
              </c:ext>
            </c:extLst>
          </c:dPt>
          <c:dPt>
            <c:idx val="5"/>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B-0840-41A5-BC3C-8E768D9B8DEF}"/>
              </c:ext>
            </c:extLst>
          </c:dPt>
          <c:dLbls>
            <c:dLbl>
              <c:idx val="0"/>
              <c:layout>
                <c:manualLayout>
                  <c:x val="-4.5271945173519616E-2"/>
                  <c:y val="-0.30563257906014918"/>
                </c:manualLayout>
              </c:layout>
              <c:tx>
                <c:rich>
                  <a:bodyPr/>
                  <a:lstStyle/>
                  <a:p>
                    <a:r>
                      <a:rPr lang="en-US"/>
                      <a:t>94,3%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40-41A5-BC3C-8E768D9B8DEF}"/>
                </c:ext>
              </c:extLst>
            </c:dLbl>
            <c:dLbl>
              <c:idx val="1"/>
              <c:layout>
                <c:manualLayout>
                  <c:x val="4.079606760927551E-2"/>
                  <c:y val="-0.13624104786717844"/>
                </c:manualLayout>
              </c:layout>
              <c:tx>
                <c:rich>
                  <a:bodyPr/>
                  <a:lstStyle/>
                  <a:p>
                    <a:r>
                      <a:rPr lang="en-US"/>
                      <a:t>56,3%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40-41A5-BC3C-8E768D9B8DEF}"/>
                </c:ext>
              </c:extLst>
            </c:dLbl>
            <c:dLbl>
              <c:idx val="2"/>
              <c:layout>
                <c:manualLayout>
                  <c:x val="0"/>
                  <c:y val="-9.5238095238095261E-2"/>
                </c:manualLayout>
              </c:layout>
              <c:tx>
                <c:rich>
                  <a:bodyPr/>
                  <a:lstStyle/>
                  <a:p>
                    <a:r>
                      <a:rPr lang="en-US"/>
                      <a:t>25,3%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40-41A5-BC3C-8E768D9B8DEF}"/>
                </c:ext>
              </c:extLst>
            </c:dLbl>
            <c:dLbl>
              <c:idx val="3"/>
              <c:delete val="1"/>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840-41A5-BC3C-8E768D9B8DEF}"/>
                </c:ext>
              </c:extLst>
            </c:dLbl>
            <c:dLbl>
              <c:idx val="5"/>
              <c:delete val="1"/>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3"/>
                <c:pt idx="0">
                  <c:v>до 12 мес</c:v>
                </c:pt>
                <c:pt idx="1">
                  <c:v>до 36 мес</c:v>
                </c:pt>
                <c:pt idx="2">
                  <c:v>до 60 мес и более</c:v>
                </c:pt>
              </c:strCache>
            </c:strRef>
          </c:cat>
          <c:val>
            <c:numRef>
              <c:f>Лист1!$B$2:$B$7</c:f>
              <c:numCache>
                <c:formatCode>0.00%</c:formatCode>
                <c:ptCount val="6"/>
                <c:pt idx="0">
                  <c:v>0.94299999999999995</c:v>
                </c:pt>
                <c:pt idx="1">
                  <c:v>0.56299999999999994</c:v>
                </c:pt>
                <c:pt idx="2">
                  <c:v>0.253</c:v>
                </c:pt>
              </c:numCache>
            </c:numRef>
          </c:val>
          <c:extLst xmlns:c16r2="http://schemas.microsoft.com/office/drawing/2015/06/chart">
            <c:ext xmlns:c16="http://schemas.microsoft.com/office/drawing/2014/chart" uri="{C3380CC4-5D6E-409C-BE32-E72D297353CC}">
              <c16:uniqueId val="{0000000C-0840-41A5-BC3C-8E768D9B8DEF}"/>
            </c:ext>
          </c:extLst>
        </c:ser>
        <c:ser>
          <c:idx val="1"/>
          <c:order val="1"/>
          <c:tx>
            <c:strRef>
              <c:f>Лист1!$C$1</c:f>
              <c:strCache>
                <c:ptCount val="1"/>
                <c:pt idx="0">
                  <c:v>Столбец1</c:v>
                </c:pt>
              </c:strCache>
            </c:strRef>
          </c:tx>
          <c:spPr>
            <a:solidFill>
              <a:schemeClr val="accent6"/>
            </a:solidFill>
          </c:spPr>
          <c:dPt>
            <c:idx val="0"/>
            <c:spPr>
              <a:solidFill>
                <a:schemeClr val="accent6"/>
              </a:solidFill>
              <a:ln>
                <a:noFill/>
              </a:ln>
              <a:effectLst/>
              <a:sp3d/>
            </c:spPr>
            <c:extLst xmlns:c16r2="http://schemas.microsoft.com/office/drawing/2015/06/chart">
              <c:ext xmlns:c16="http://schemas.microsoft.com/office/drawing/2014/chart" uri="{C3380CC4-5D6E-409C-BE32-E72D297353CC}">
                <c16:uniqueId val="{0000000E-0840-41A5-BC3C-8E768D9B8DEF}"/>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10-0840-41A5-BC3C-8E768D9B8DEF}"/>
              </c:ext>
            </c:extLst>
          </c:dPt>
          <c:dPt>
            <c:idx val="2"/>
            <c:spPr>
              <a:solidFill>
                <a:srgbClr val="FFFF00"/>
              </a:solidFill>
              <a:ln>
                <a:noFill/>
              </a:ln>
              <a:effectLst/>
              <a:sp3d/>
            </c:spPr>
            <c:extLst xmlns:c16r2="http://schemas.microsoft.com/office/drawing/2015/06/chart">
              <c:ext xmlns:c16="http://schemas.microsoft.com/office/drawing/2014/chart" uri="{C3380CC4-5D6E-409C-BE32-E72D297353CC}">
                <c16:uniqueId val="{00000012-0840-41A5-BC3C-8E768D9B8DEF}"/>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14-0840-41A5-BC3C-8E768D9B8DEF}"/>
              </c:ext>
            </c:extLst>
          </c:dPt>
          <c:dPt>
            <c:idx val="4"/>
            <c:spPr>
              <a:solidFill>
                <a:srgbClr val="FFFF00"/>
              </a:solidFill>
              <a:ln>
                <a:noFill/>
              </a:ln>
              <a:effectLst/>
              <a:sp3d/>
            </c:spPr>
            <c:extLst xmlns:c16r2="http://schemas.microsoft.com/office/drawing/2015/06/chart">
              <c:ext xmlns:c16="http://schemas.microsoft.com/office/drawing/2014/chart" uri="{C3380CC4-5D6E-409C-BE32-E72D297353CC}">
                <c16:uniqueId val="{00000016-0840-41A5-BC3C-8E768D9B8DEF}"/>
              </c:ext>
            </c:extLst>
          </c:dPt>
          <c:dPt>
            <c:idx val="5"/>
            <c:spPr>
              <a:solidFill>
                <a:schemeClr val="accent6"/>
              </a:solidFill>
              <a:ln>
                <a:noFill/>
              </a:ln>
              <a:effectLst/>
              <a:sp3d/>
            </c:spPr>
            <c:extLst xmlns:c16r2="http://schemas.microsoft.com/office/drawing/2015/06/chart">
              <c:ext xmlns:c16="http://schemas.microsoft.com/office/drawing/2014/chart" uri="{C3380CC4-5D6E-409C-BE32-E72D297353CC}">
                <c16:uniqueId val="{00000018-0840-41A5-BC3C-8E768D9B8DEF}"/>
              </c:ext>
            </c:extLst>
          </c:dPt>
          <c:dLbls>
            <c:dLbl>
              <c:idx val="3"/>
              <c:layout>
                <c:manualLayout>
                  <c:x val="-8.4875562720135711E-17"/>
                  <c:y val="-9.12698412698412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840-41A5-BC3C-8E768D9B8DE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3"/>
                <c:pt idx="0">
                  <c:v>до 12 мес</c:v>
                </c:pt>
                <c:pt idx="1">
                  <c:v>до 36 мес</c:v>
                </c:pt>
                <c:pt idx="2">
                  <c:v>до 60 мес и более</c:v>
                </c:pt>
              </c:strCache>
            </c:strRef>
          </c:cat>
          <c:val>
            <c:numRef>
              <c:f>Лист1!$C$2:$C$7</c:f>
              <c:numCache>
                <c:formatCode>General</c:formatCode>
                <c:ptCount val="6"/>
                <c:pt idx="5">
                  <c:v>0</c:v>
                </c:pt>
              </c:numCache>
            </c:numRef>
          </c:val>
          <c:extLst xmlns:c16r2="http://schemas.microsoft.com/office/drawing/2015/06/chart">
            <c:ext xmlns:c16="http://schemas.microsoft.com/office/drawing/2014/chart" uri="{C3380CC4-5D6E-409C-BE32-E72D297353CC}">
              <c16:uniqueId val="{00000019-0840-41A5-BC3C-8E768D9B8DEF}"/>
            </c:ext>
          </c:extLst>
        </c:ser>
        <c:ser>
          <c:idx val="2"/>
          <c:order val="2"/>
          <c:tx>
            <c:strRef>
              <c:f>Лист1!$D$1</c:f>
              <c:strCache>
                <c:ptCount val="1"/>
                <c:pt idx="0">
                  <c:v>Столбец2</c:v>
                </c:pt>
              </c:strCache>
            </c:strRef>
          </c:tx>
          <c:dPt>
            <c:idx val="0"/>
            <c:spPr>
              <a:solidFill>
                <a:schemeClr val="accent1"/>
              </a:solidFill>
              <a:ln>
                <a:noFill/>
              </a:ln>
              <a:effectLst/>
              <a:sp3d/>
            </c:spPr>
            <c:extLst xmlns:c16r2="http://schemas.microsoft.com/office/drawing/2015/06/chart">
              <c:ext xmlns:c16="http://schemas.microsoft.com/office/drawing/2014/chart" uri="{C3380CC4-5D6E-409C-BE32-E72D297353CC}">
                <c16:uniqueId val="{0000001B-0840-41A5-BC3C-8E768D9B8DEF}"/>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1D-0840-41A5-BC3C-8E768D9B8DEF}"/>
              </c:ext>
            </c:extLst>
          </c:dPt>
          <c:dPt>
            <c:idx val="2"/>
            <c:spPr>
              <a:solidFill>
                <a:schemeClr val="accent3"/>
              </a:solidFill>
              <a:ln>
                <a:noFill/>
              </a:ln>
              <a:effectLst/>
              <a:sp3d/>
            </c:spPr>
            <c:extLst xmlns:c16r2="http://schemas.microsoft.com/office/drawing/2015/06/chart">
              <c:ext xmlns:c16="http://schemas.microsoft.com/office/drawing/2014/chart" uri="{C3380CC4-5D6E-409C-BE32-E72D297353CC}">
                <c16:uniqueId val="{0000001F-0840-41A5-BC3C-8E768D9B8DEF}"/>
              </c:ext>
            </c:extLst>
          </c:dPt>
          <c:dPt>
            <c:idx val="3"/>
            <c:spPr>
              <a:solidFill>
                <a:schemeClr val="accent4"/>
              </a:solidFill>
              <a:ln>
                <a:noFill/>
              </a:ln>
              <a:effectLst/>
              <a:sp3d/>
            </c:spPr>
            <c:extLst xmlns:c16r2="http://schemas.microsoft.com/office/drawing/2015/06/chart">
              <c:ext xmlns:c16="http://schemas.microsoft.com/office/drawing/2014/chart" uri="{C3380CC4-5D6E-409C-BE32-E72D297353CC}">
                <c16:uniqueId val="{00000021-0840-41A5-BC3C-8E768D9B8DEF}"/>
              </c:ext>
            </c:extLst>
          </c:dPt>
          <c:dPt>
            <c:idx val="4"/>
            <c:spPr>
              <a:solidFill>
                <a:schemeClr val="accent5"/>
              </a:solidFill>
              <a:ln>
                <a:noFill/>
              </a:ln>
              <a:effectLst/>
              <a:sp3d/>
            </c:spPr>
            <c:extLst xmlns:c16r2="http://schemas.microsoft.com/office/drawing/2015/06/chart">
              <c:ext xmlns:c16="http://schemas.microsoft.com/office/drawing/2014/chart" uri="{C3380CC4-5D6E-409C-BE32-E72D297353CC}">
                <c16:uniqueId val="{00000023-0840-41A5-BC3C-8E768D9B8DEF}"/>
              </c:ext>
            </c:extLst>
          </c:dPt>
          <c:dPt>
            <c:idx val="5"/>
            <c:spPr>
              <a:solidFill>
                <a:schemeClr val="accent6"/>
              </a:solidFill>
              <a:ln>
                <a:noFill/>
              </a:ln>
              <a:effectLst/>
              <a:sp3d/>
            </c:spPr>
            <c:extLst xmlns:c16r2="http://schemas.microsoft.com/office/drawing/2015/06/chart">
              <c:ext xmlns:c16="http://schemas.microsoft.com/office/drawing/2014/chart" uri="{C3380CC4-5D6E-409C-BE32-E72D297353CC}">
                <c16:uniqueId val="{00000025-0840-41A5-BC3C-8E768D9B8DEF}"/>
              </c:ext>
            </c:extLst>
          </c:dPt>
          <c:dLbls>
            <c:dLbl>
              <c:idx val="1"/>
              <c:layout>
                <c:manualLayout>
                  <c:x val="1.1574074074074073E-2"/>
                  <c:y val="-0.1428571428571439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840-41A5-BC3C-8E768D9B8DEF}"/>
                </c:ext>
              </c:extLst>
            </c:dLbl>
            <c:dLbl>
              <c:idx val="2"/>
              <c:layout>
                <c:manualLayout>
                  <c:x val="-8.4875562720135711E-17"/>
                  <c:y val="-0.126984126984126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0840-41A5-BC3C-8E768D9B8DEF}"/>
                </c:ext>
              </c:extLst>
            </c:dLbl>
            <c:dLbl>
              <c:idx val="3"/>
              <c:layout>
                <c:manualLayout>
                  <c:x val="6.7129629629629539E-2"/>
                  <c:y val="3.96825396825389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0840-41A5-BC3C-8E768D9B8DEF}"/>
                </c:ext>
              </c:extLst>
            </c:dLbl>
            <c:dLbl>
              <c:idx val="4"/>
              <c:layout>
                <c:manualLayout>
                  <c:x val="9.2592592592592605E-3"/>
                  <c:y val="-9.12698412698413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0840-41A5-BC3C-8E768D9B8DE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3"/>
                <c:pt idx="0">
                  <c:v>до 12 мес</c:v>
                </c:pt>
                <c:pt idx="1">
                  <c:v>до 36 мес</c:v>
                </c:pt>
                <c:pt idx="2">
                  <c:v>до 60 мес и более</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26-0840-41A5-BC3C-8E768D9B8DEF}"/>
            </c:ext>
          </c:extLst>
        </c:ser>
      </c:pie3DChart>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ru-RU" sz="1800"/>
              <a:t> ОВ</a:t>
            </a:r>
          </a:p>
        </c:rich>
      </c:tx>
      <c:layout>
        <c:manualLayout>
          <c:xMode val="edge"/>
          <c:yMode val="edge"/>
          <c:x val="0.43656824146981876"/>
          <c:y val="2.7777777777778064E-2"/>
        </c:manualLayout>
      </c:layout>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952742356875599"/>
          <c:y val="1.1934606828854931E-3"/>
          <c:w val="0.87784904491105364"/>
          <c:h val="0.83274465691789179"/>
        </c:manualLayout>
      </c:layout>
      <c:pie3DChart>
        <c:varyColors val="1"/>
        <c:ser>
          <c:idx val="0"/>
          <c:order val="0"/>
          <c:tx>
            <c:strRef>
              <c:f>Лист1!$B$1</c:f>
              <c:strCache>
                <c:ptCount val="1"/>
                <c:pt idx="0">
                  <c:v>А подгруппа</c:v>
                </c:pt>
              </c:strCache>
            </c:strRef>
          </c:tx>
          <c:spPr>
            <a:blipFill>
              <a:blip xmlns:r="http://schemas.openxmlformats.org/officeDocument/2006/relationships" r:embed="rId2"/>
              <a:tile tx="0" ty="0" sx="100000" sy="100000" flip="none" algn="tl"/>
            </a:blipFill>
          </c:spPr>
          <c:dPt>
            <c:idx val="0"/>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1-8FFE-4FF1-A8C5-D363B4B2401C}"/>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3-8FFE-4FF1-A8C5-D363B4B2401C}"/>
              </c:ext>
            </c:extLst>
          </c:dPt>
          <c:dPt>
            <c:idx val="2"/>
            <c:spPr>
              <a:blipFill dpi="0" rotWithShape="1">
                <a:blip xmlns:r="http://schemas.openxmlformats.org/officeDocument/2006/relationships" r:embed="rId3">
                  <a:alphaModFix amt="99000"/>
                </a:blip>
                <a:srcRect/>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5-8FFE-4FF1-A8C5-D363B4B2401C}"/>
              </c:ext>
            </c:extLst>
          </c:dPt>
          <c:dPt>
            <c:idx val="3"/>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7-8FFE-4FF1-A8C5-D363B4B2401C}"/>
              </c:ext>
            </c:extLst>
          </c:dPt>
          <c:dPt>
            <c:idx val="4"/>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9-8FFE-4FF1-A8C5-D363B4B2401C}"/>
              </c:ext>
            </c:extLst>
          </c:dPt>
          <c:dPt>
            <c:idx val="5"/>
            <c:spPr>
              <a:blipFill>
                <a:blip xmlns:r="http://schemas.openxmlformats.org/officeDocument/2006/relationships" r:embed="rId2"/>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B-8FFE-4FF1-A8C5-D363B4B2401C}"/>
              </c:ext>
            </c:extLst>
          </c:dPt>
          <c:dLbls>
            <c:dLbl>
              <c:idx val="0"/>
              <c:layout>
                <c:manualLayout>
                  <c:x val="-4.5271945173519616E-2"/>
                  <c:y val="-0.30563257906014918"/>
                </c:manualLayout>
              </c:layout>
              <c:tx>
                <c:rich>
                  <a:bodyPr/>
                  <a:lstStyle/>
                  <a:p>
                    <a:r>
                      <a:rPr lang="en-US"/>
                      <a:t>100%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FE-4FF1-A8C5-D363B4B2401C}"/>
                </c:ext>
              </c:extLst>
            </c:dLbl>
            <c:dLbl>
              <c:idx val="1"/>
              <c:layout>
                <c:manualLayout>
                  <c:x val="0.13457126577317227"/>
                  <c:y val="-0.15907691209321811"/>
                </c:manualLayout>
              </c:layout>
              <c:tx>
                <c:rich>
                  <a:bodyPr/>
                  <a:lstStyle/>
                  <a:p>
                    <a:r>
                      <a:rPr lang="en-US"/>
                      <a:t>80%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FE-4FF1-A8C5-D363B4B2401C}"/>
                </c:ext>
              </c:extLst>
            </c:dLbl>
            <c:dLbl>
              <c:idx val="2"/>
              <c:layout>
                <c:manualLayout>
                  <c:x val="0"/>
                  <c:y val="-9.5238095238095261E-2"/>
                </c:manualLayout>
              </c:layout>
              <c:tx>
                <c:rich>
                  <a:bodyPr/>
                  <a:lstStyle/>
                  <a:p>
                    <a:r>
                      <a:rPr lang="en-US"/>
                      <a:t>70%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FE-4FF1-A8C5-D363B4B2401C}"/>
                </c:ext>
              </c:extLst>
            </c:dLbl>
            <c:dLbl>
              <c:idx val="3"/>
              <c:delete val="1"/>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FFE-4FF1-A8C5-D363B4B2401C}"/>
                </c:ext>
              </c:extLst>
            </c:dLbl>
            <c:dLbl>
              <c:idx val="5"/>
              <c:delete val="1"/>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3"/>
                <c:pt idx="0">
                  <c:v>до 12 мес</c:v>
                </c:pt>
                <c:pt idx="1">
                  <c:v>до 36 мес</c:v>
                </c:pt>
                <c:pt idx="2">
                  <c:v>до 60 мес и более</c:v>
                </c:pt>
              </c:strCache>
            </c:strRef>
          </c:cat>
          <c:val>
            <c:numRef>
              <c:f>Лист1!$B$2:$B$7</c:f>
              <c:numCache>
                <c:formatCode>0.00%</c:formatCode>
                <c:ptCount val="6"/>
                <c:pt idx="0">
                  <c:v>1</c:v>
                </c:pt>
                <c:pt idx="1">
                  <c:v>0.8</c:v>
                </c:pt>
                <c:pt idx="2">
                  <c:v>0.70000000000000062</c:v>
                </c:pt>
              </c:numCache>
            </c:numRef>
          </c:val>
          <c:extLst xmlns:c16r2="http://schemas.microsoft.com/office/drawing/2015/06/chart">
            <c:ext xmlns:c16="http://schemas.microsoft.com/office/drawing/2014/chart" uri="{C3380CC4-5D6E-409C-BE32-E72D297353CC}">
              <c16:uniqueId val="{0000000C-8FFE-4FF1-A8C5-D363B4B2401C}"/>
            </c:ext>
          </c:extLst>
        </c:ser>
        <c:ser>
          <c:idx val="1"/>
          <c:order val="1"/>
          <c:tx>
            <c:strRef>
              <c:f>Лист1!$C$1</c:f>
              <c:strCache>
                <c:ptCount val="1"/>
                <c:pt idx="0">
                  <c:v>Столбец1</c:v>
                </c:pt>
              </c:strCache>
            </c:strRef>
          </c:tx>
          <c:spPr>
            <a:solidFill>
              <a:schemeClr val="accent6"/>
            </a:solidFill>
          </c:spPr>
          <c:dPt>
            <c:idx val="0"/>
            <c:spPr>
              <a:solidFill>
                <a:schemeClr val="accent6"/>
              </a:solidFill>
              <a:ln>
                <a:noFill/>
              </a:ln>
              <a:effectLst/>
              <a:sp3d/>
            </c:spPr>
            <c:extLst xmlns:c16r2="http://schemas.microsoft.com/office/drawing/2015/06/chart">
              <c:ext xmlns:c16="http://schemas.microsoft.com/office/drawing/2014/chart" uri="{C3380CC4-5D6E-409C-BE32-E72D297353CC}">
                <c16:uniqueId val="{0000000E-8FFE-4FF1-A8C5-D363B4B2401C}"/>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10-8FFE-4FF1-A8C5-D363B4B2401C}"/>
              </c:ext>
            </c:extLst>
          </c:dPt>
          <c:dPt>
            <c:idx val="2"/>
            <c:spPr>
              <a:solidFill>
                <a:srgbClr val="FFFF00"/>
              </a:solidFill>
              <a:ln>
                <a:noFill/>
              </a:ln>
              <a:effectLst/>
              <a:sp3d/>
            </c:spPr>
            <c:extLst xmlns:c16r2="http://schemas.microsoft.com/office/drawing/2015/06/chart">
              <c:ext xmlns:c16="http://schemas.microsoft.com/office/drawing/2014/chart" uri="{C3380CC4-5D6E-409C-BE32-E72D297353CC}">
                <c16:uniqueId val="{00000012-8FFE-4FF1-A8C5-D363B4B2401C}"/>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14-8FFE-4FF1-A8C5-D363B4B2401C}"/>
              </c:ext>
            </c:extLst>
          </c:dPt>
          <c:dPt>
            <c:idx val="4"/>
            <c:spPr>
              <a:solidFill>
                <a:srgbClr val="FFFF00"/>
              </a:solidFill>
              <a:ln>
                <a:noFill/>
              </a:ln>
              <a:effectLst/>
              <a:sp3d/>
            </c:spPr>
            <c:extLst xmlns:c16r2="http://schemas.microsoft.com/office/drawing/2015/06/chart">
              <c:ext xmlns:c16="http://schemas.microsoft.com/office/drawing/2014/chart" uri="{C3380CC4-5D6E-409C-BE32-E72D297353CC}">
                <c16:uniqueId val="{00000016-8FFE-4FF1-A8C5-D363B4B2401C}"/>
              </c:ext>
            </c:extLst>
          </c:dPt>
          <c:dPt>
            <c:idx val="5"/>
            <c:spPr>
              <a:solidFill>
                <a:schemeClr val="accent6"/>
              </a:solidFill>
              <a:ln>
                <a:noFill/>
              </a:ln>
              <a:effectLst/>
              <a:sp3d/>
            </c:spPr>
            <c:extLst xmlns:c16r2="http://schemas.microsoft.com/office/drawing/2015/06/chart">
              <c:ext xmlns:c16="http://schemas.microsoft.com/office/drawing/2014/chart" uri="{C3380CC4-5D6E-409C-BE32-E72D297353CC}">
                <c16:uniqueId val="{00000018-8FFE-4FF1-A8C5-D363B4B2401C}"/>
              </c:ext>
            </c:extLst>
          </c:dPt>
          <c:dLbls>
            <c:dLbl>
              <c:idx val="3"/>
              <c:layout>
                <c:manualLayout>
                  <c:x val="-8.4875562720135711E-17"/>
                  <c:y val="-9.12698412698412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FFE-4FF1-A8C5-D363B4B2401C}"/>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3"/>
                <c:pt idx="0">
                  <c:v>до 12 мес</c:v>
                </c:pt>
                <c:pt idx="1">
                  <c:v>до 36 мес</c:v>
                </c:pt>
                <c:pt idx="2">
                  <c:v>до 60 мес и более</c:v>
                </c:pt>
              </c:strCache>
            </c:strRef>
          </c:cat>
          <c:val>
            <c:numRef>
              <c:f>Лист1!$C$2:$C$7</c:f>
              <c:numCache>
                <c:formatCode>General</c:formatCode>
                <c:ptCount val="6"/>
                <c:pt idx="5">
                  <c:v>0</c:v>
                </c:pt>
              </c:numCache>
            </c:numRef>
          </c:val>
          <c:extLst xmlns:c16r2="http://schemas.microsoft.com/office/drawing/2015/06/chart">
            <c:ext xmlns:c16="http://schemas.microsoft.com/office/drawing/2014/chart" uri="{C3380CC4-5D6E-409C-BE32-E72D297353CC}">
              <c16:uniqueId val="{00000019-8FFE-4FF1-A8C5-D363B4B2401C}"/>
            </c:ext>
          </c:extLst>
        </c:ser>
        <c:ser>
          <c:idx val="2"/>
          <c:order val="2"/>
          <c:tx>
            <c:strRef>
              <c:f>Лист1!$D$1</c:f>
              <c:strCache>
                <c:ptCount val="1"/>
                <c:pt idx="0">
                  <c:v>Столбец2</c:v>
                </c:pt>
              </c:strCache>
            </c:strRef>
          </c:tx>
          <c:dPt>
            <c:idx val="0"/>
            <c:spPr>
              <a:solidFill>
                <a:schemeClr val="accent1"/>
              </a:solidFill>
              <a:ln>
                <a:noFill/>
              </a:ln>
              <a:effectLst/>
              <a:sp3d/>
            </c:spPr>
            <c:extLst xmlns:c16r2="http://schemas.microsoft.com/office/drawing/2015/06/chart">
              <c:ext xmlns:c16="http://schemas.microsoft.com/office/drawing/2014/chart" uri="{C3380CC4-5D6E-409C-BE32-E72D297353CC}">
                <c16:uniqueId val="{0000001B-8FFE-4FF1-A8C5-D363B4B2401C}"/>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1D-8FFE-4FF1-A8C5-D363B4B2401C}"/>
              </c:ext>
            </c:extLst>
          </c:dPt>
          <c:dPt>
            <c:idx val="2"/>
            <c:spPr>
              <a:solidFill>
                <a:schemeClr val="accent3"/>
              </a:solidFill>
              <a:ln>
                <a:noFill/>
              </a:ln>
              <a:effectLst/>
              <a:sp3d/>
            </c:spPr>
            <c:extLst xmlns:c16r2="http://schemas.microsoft.com/office/drawing/2015/06/chart">
              <c:ext xmlns:c16="http://schemas.microsoft.com/office/drawing/2014/chart" uri="{C3380CC4-5D6E-409C-BE32-E72D297353CC}">
                <c16:uniqueId val="{0000001F-8FFE-4FF1-A8C5-D363B4B2401C}"/>
              </c:ext>
            </c:extLst>
          </c:dPt>
          <c:dPt>
            <c:idx val="3"/>
            <c:spPr>
              <a:solidFill>
                <a:schemeClr val="accent4"/>
              </a:solidFill>
              <a:ln>
                <a:noFill/>
              </a:ln>
              <a:effectLst/>
              <a:sp3d/>
            </c:spPr>
            <c:extLst xmlns:c16r2="http://schemas.microsoft.com/office/drawing/2015/06/chart">
              <c:ext xmlns:c16="http://schemas.microsoft.com/office/drawing/2014/chart" uri="{C3380CC4-5D6E-409C-BE32-E72D297353CC}">
                <c16:uniqueId val="{00000021-8FFE-4FF1-A8C5-D363B4B2401C}"/>
              </c:ext>
            </c:extLst>
          </c:dPt>
          <c:dPt>
            <c:idx val="4"/>
            <c:spPr>
              <a:solidFill>
                <a:schemeClr val="accent5"/>
              </a:solidFill>
              <a:ln>
                <a:noFill/>
              </a:ln>
              <a:effectLst/>
              <a:sp3d/>
            </c:spPr>
            <c:extLst xmlns:c16r2="http://schemas.microsoft.com/office/drawing/2015/06/chart">
              <c:ext xmlns:c16="http://schemas.microsoft.com/office/drawing/2014/chart" uri="{C3380CC4-5D6E-409C-BE32-E72D297353CC}">
                <c16:uniqueId val="{00000023-8FFE-4FF1-A8C5-D363B4B2401C}"/>
              </c:ext>
            </c:extLst>
          </c:dPt>
          <c:dPt>
            <c:idx val="5"/>
            <c:spPr>
              <a:solidFill>
                <a:schemeClr val="accent6"/>
              </a:solidFill>
              <a:ln>
                <a:noFill/>
              </a:ln>
              <a:effectLst/>
              <a:sp3d/>
            </c:spPr>
            <c:extLst xmlns:c16r2="http://schemas.microsoft.com/office/drawing/2015/06/chart">
              <c:ext xmlns:c16="http://schemas.microsoft.com/office/drawing/2014/chart" uri="{C3380CC4-5D6E-409C-BE32-E72D297353CC}">
                <c16:uniqueId val="{00000025-8FFE-4FF1-A8C5-D363B4B2401C}"/>
              </c:ext>
            </c:extLst>
          </c:dPt>
          <c:dLbls>
            <c:dLbl>
              <c:idx val="1"/>
              <c:layout>
                <c:manualLayout>
                  <c:x val="1.1574074074074073E-2"/>
                  <c:y val="-0.1428571428571439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8FFE-4FF1-A8C5-D363B4B2401C}"/>
                </c:ext>
              </c:extLst>
            </c:dLbl>
            <c:dLbl>
              <c:idx val="2"/>
              <c:layout>
                <c:manualLayout>
                  <c:x val="-8.4875562720135711E-17"/>
                  <c:y val="-0.126984126984126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8FFE-4FF1-A8C5-D363B4B2401C}"/>
                </c:ext>
              </c:extLst>
            </c:dLbl>
            <c:dLbl>
              <c:idx val="3"/>
              <c:layout>
                <c:manualLayout>
                  <c:x val="6.7129629629629539E-2"/>
                  <c:y val="3.96825396825389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8FFE-4FF1-A8C5-D363B4B2401C}"/>
                </c:ext>
              </c:extLst>
            </c:dLbl>
            <c:dLbl>
              <c:idx val="4"/>
              <c:layout>
                <c:manualLayout>
                  <c:x val="9.2592592592592605E-3"/>
                  <c:y val="-9.12698412698413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8FFE-4FF1-A8C5-D363B4B2401C}"/>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3"/>
                <c:pt idx="0">
                  <c:v>до 12 мес</c:v>
                </c:pt>
                <c:pt idx="1">
                  <c:v>до 36 мес</c:v>
                </c:pt>
                <c:pt idx="2">
                  <c:v>до 60 мес и более</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26-8FFE-4FF1-A8C5-D363B4B2401C}"/>
            </c:ext>
          </c:extLst>
        </c:ser>
      </c:pie3DChart>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20-30 лет</c:v>
                </c:pt>
              </c:strCache>
            </c:strRef>
          </c:tx>
          <c:spPr>
            <a:solidFill>
              <a:schemeClr val="accent1"/>
            </a:solidFill>
            <a:ln>
              <a:noFill/>
            </a:ln>
            <a:effectLst/>
          </c:spPr>
          <c:cat>
            <c:strRef>
              <c:f>Лист1!$A$2:$A$6</c:f>
              <c:strCache>
                <c:ptCount val="5"/>
                <c:pt idx="0">
                  <c:v>Ig G κ</c:v>
                </c:pt>
                <c:pt idx="1">
                  <c:v>Ig Gλ</c:v>
                </c:pt>
                <c:pt idx="2">
                  <c:v>Ig Aκ</c:v>
                </c:pt>
                <c:pt idx="3">
                  <c:v>Ig Aλ</c:v>
                </c:pt>
                <c:pt idx="4">
                  <c:v>редкие типы</c:v>
                </c:pt>
              </c:strCache>
            </c:strRef>
          </c:cat>
          <c:val>
            <c:numRef>
              <c:f>Лист1!$B$2:$B$6</c:f>
              <c:numCache>
                <c:formatCode>General</c:formatCode>
                <c:ptCount val="5"/>
                <c:pt idx="0">
                  <c:v>0</c:v>
                </c:pt>
                <c:pt idx="1">
                  <c:v>1.6</c:v>
                </c:pt>
                <c:pt idx="2">
                  <c:v>0</c:v>
                </c:pt>
                <c:pt idx="3">
                  <c:v>0</c:v>
                </c:pt>
                <c:pt idx="4">
                  <c:v>0</c:v>
                </c:pt>
              </c:numCache>
            </c:numRef>
          </c:val>
          <c:extLst xmlns:c16r2="http://schemas.microsoft.com/office/drawing/2015/06/chart">
            <c:ext xmlns:c16="http://schemas.microsoft.com/office/drawing/2014/chart" uri="{C3380CC4-5D6E-409C-BE32-E72D297353CC}">
              <c16:uniqueId val="{00000000-1DC0-4304-B3B2-9984CDE91C9F}"/>
            </c:ext>
          </c:extLst>
        </c:ser>
        <c:ser>
          <c:idx val="1"/>
          <c:order val="1"/>
          <c:tx>
            <c:strRef>
              <c:f>Лист1!$C$1</c:f>
              <c:strCache>
                <c:ptCount val="1"/>
                <c:pt idx="0">
                  <c:v>30-40 лет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Лист1!$C$2:$C$6</c:f>
              <c:numCache>
                <c:formatCode>General</c:formatCode>
                <c:ptCount val="5"/>
                <c:pt idx="0">
                  <c:v>2.4</c:v>
                </c:pt>
                <c:pt idx="1">
                  <c:v>1.6</c:v>
                </c:pt>
                <c:pt idx="2">
                  <c:v>1.6</c:v>
                </c:pt>
                <c:pt idx="3">
                  <c:v>0</c:v>
                </c:pt>
                <c:pt idx="4">
                  <c:v>2.4</c:v>
                </c:pt>
              </c:numCache>
            </c:numRef>
          </c:val>
          <c:extLst xmlns:c16r2="http://schemas.microsoft.com/office/drawing/2015/06/chart">
            <c:ext xmlns:c16="http://schemas.microsoft.com/office/drawing/2014/chart" uri="{C3380CC4-5D6E-409C-BE32-E72D297353CC}">
              <c16:uniqueId val="{00000001-1DC0-4304-B3B2-9984CDE91C9F}"/>
            </c:ext>
          </c:extLst>
        </c:ser>
        <c:ser>
          <c:idx val="2"/>
          <c:order val="2"/>
          <c:tx>
            <c:strRef>
              <c:f>Лист1!$D$1</c:f>
              <c:strCache>
                <c:ptCount val="1"/>
                <c:pt idx="0">
                  <c:v>40-50 лет</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Лист1!$D$2:$D$6</c:f>
              <c:numCache>
                <c:formatCode>General</c:formatCode>
                <c:ptCount val="5"/>
                <c:pt idx="0">
                  <c:v>8.1</c:v>
                </c:pt>
                <c:pt idx="1">
                  <c:v>5.6</c:v>
                </c:pt>
                <c:pt idx="2">
                  <c:v>0.8</c:v>
                </c:pt>
                <c:pt idx="3">
                  <c:v>2.4</c:v>
                </c:pt>
                <c:pt idx="4">
                  <c:v>1.6</c:v>
                </c:pt>
              </c:numCache>
            </c:numRef>
          </c:val>
          <c:extLst xmlns:c16r2="http://schemas.microsoft.com/office/drawing/2015/06/chart">
            <c:ext xmlns:c16="http://schemas.microsoft.com/office/drawing/2014/chart" uri="{C3380CC4-5D6E-409C-BE32-E72D297353CC}">
              <c16:uniqueId val="{00000002-1DC0-4304-B3B2-9984CDE91C9F}"/>
            </c:ext>
          </c:extLst>
        </c:ser>
        <c:ser>
          <c:idx val="3"/>
          <c:order val="3"/>
          <c:tx>
            <c:strRef>
              <c:f>Лист1!$E$1</c:f>
              <c:strCache>
                <c:ptCount val="1"/>
                <c:pt idx="0">
                  <c:v>50-60 лет</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Лист1!$E$2:$E$6</c:f>
              <c:numCache>
                <c:formatCode>General</c:formatCode>
                <c:ptCount val="5"/>
                <c:pt idx="0">
                  <c:v>21</c:v>
                </c:pt>
                <c:pt idx="1">
                  <c:v>8.1</c:v>
                </c:pt>
                <c:pt idx="2">
                  <c:v>3.2</c:v>
                </c:pt>
                <c:pt idx="3">
                  <c:v>4.8</c:v>
                </c:pt>
                <c:pt idx="4">
                  <c:v>4</c:v>
                </c:pt>
              </c:numCache>
            </c:numRef>
          </c:val>
          <c:extLst xmlns:c16r2="http://schemas.microsoft.com/office/drawing/2015/06/chart">
            <c:ext xmlns:c16="http://schemas.microsoft.com/office/drawing/2014/chart" uri="{C3380CC4-5D6E-409C-BE32-E72D297353CC}">
              <c16:uniqueId val="{00000003-1DC0-4304-B3B2-9984CDE91C9F}"/>
            </c:ext>
          </c:extLst>
        </c:ser>
        <c:ser>
          <c:idx val="4"/>
          <c:order val="4"/>
          <c:tx>
            <c:strRef>
              <c:f>Лист1!$F$1</c:f>
              <c:strCache>
                <c:ptCount val="1"/>
                <c:pt idx="0">
                  <c:v>60-70 лет</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Лист1!$F$2:$F$6</c:f>
              <c:numCache>
                <c:formatCode>General</c:formatCode>
                <c:ptCount val="5"/>
                <c:pt idx="0">
                  <c:v>12.1</c:v>
                </c:pt>
                <c:pt idx="1">
                  <c:v>2.4</c:v>
                </c:pt>
                <c:pt idx="2">
                  <c:v>0.8</c:v>
                </c:pt>
                <c:pt idx="3">
                  <c:v>3.2</c:v>
                </c:pt>
                <c:pt idx="4">
                  <c:v>5.6</c:v>
                </c:pt>
              </c:numCache>
            </c:numRef>
          </c:val>
          <c:extLst xmlns:c16r2="http://schemas.microsoft.com/office/drawing/2015/06/chart">
            <c:ext xmlns:c16="http://schemas.microsoft.com/office/drawing/2014/chart" uri="{C3380CC4-5D6E-409C-BE32-E72D297353CC}">
              <c16:uniqueId val="{00000004-1DC0-4304-B3B2-9984CDE91C9F}"/>
            </c:ext>
          </c:extLst>
        </c:ser>
        <c:ser>
          <c:idx val="5"/>
          <c:order val="5"/>
          <c:tx>
            <c:strRef>
              <c:f>Лист1!$G$1</c:f>
              <c:strCache>
                <c:ptCount val="1"/>
                <c:pt idx="0">
                  <c:v>70-80 лет</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 G κ</c:v>
                </c:pt>
                <c:pt idx="1">
                  <c:v>Ig Gλ</c:v>
                </c:pt>
                <c:pt idx="2">
                  <c:v>Ig Aκ</c:v>
                </c:pt>
                <c:pt idx="3">
                  <c:v>Ig Aλ</c:v>
                </c:pt>
                <c:pt idx="4">
                  <c:v>редкие типы</c:v>
                </c:pt>
              </c:strCache>
            </c:strRef>
          </c:cat>
          <c:val>
            <c:numRef>
              <c:f>Лист1!$G$2:$G$6</c:f>
              <c:numCache>
                <c:formatCode>General</c:formatCode>
                <c:ptCount val="5"/>
                <c:pt idx="0">
                  <c:v>1.6</c:v>
                </c:pt>
                <c:pt idx="1">
                  <c:v>1.6</c:v>
                </c:pt>
                <c:pt idx="2">
                  <c:v>0</c:v>
                </c:pt>
                <c:pt idx="3">
                  <c:v>0.8</c:v>
                </c:pt>
                <c:pt idx="4">
                  <c:v>2.4</c:v>
                </c:pt>
              </c:numCache>
            </c:numRef>
          </c:val>
          <c:extLst xmlns:c16r2="http://schemas.microsoft.com/office/drawing/2015/06/chart">
            <c:ext xmlns:c16="http://schemas.microsoft.com/office/drawing/2014/chart" uri="{C3380CC4-5D6E-409C-BE32-E72D297353CC}">
              <c16:uniqueId val="{00000005-1DC0-4304-B3B2-9984CDE91C9F}"/>
            </c:ext>
          </c:extLst>
        </c:ser>
        <c:gapWidth val="219"/>
        <c:overlap val="-27"/>
        <c:axId val="93706496"/>
        <c:axId val="93777920"/>
      </c:barChart>
      <c:catAx>
        <c:axId val="93706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777920"/>
        <c:crosses val="autoZero"/>
        <c:auto val="1"/>
        <c:lblAlgn val="ctr"/>
        <c:lblOffset val="100"/>
      </c:catAx>
      <c:valAx>
        <c:axId val="93777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706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I степень</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IgGκ</c:v>
                </c:pt>
                <c:pt idx="1">
                  <c:v>IgGλ</c:v>
                </c:pt>
                <c:pt idx="2">
                  <c:v>IgAκ</c:v>
                </c:pt>
                <c:pt idx="3">
                  <c:v>IgAλ</c:v>
                </c:pt>
                <c:pt idx="4">
                  <c:v>редкие типы</c:v>
                </c:pt>
              </c:strCache>
            </c:strRef>
          </c:cat>
          <c:val>
            <c:numRef>
              <c:f>Лист1!$B$2:$B$6</c:f>
              <c:numCache>
                <c:formatCode>General</c:formatCode>
                <c:ptCount val="5"/>
                <c:pt idx="0">
                  <c:v>26.8</c:v>
                </c:pt>
                <c:pt idx="1">
                  <c:v>19.2</c:v>
                </c:pt>
                <c:pt idx="2">
                  <c:v>25</c:v>
                </c:pt>
                <c:pt idx="3">
                  <c:v>0</c:v>
                </c:pt>
                <c:pt idx="4">
                  <c:v>10</c:v>
                </c:pt>
              </c:numCache>
            </c:numRef>
          </c:val>
          <c:extLst xmlns:c16r2="http://schemas.microsoft.com/office/drawing/2015/06/chart">
            <c:ext xmlns:c16="http://schemas.microsoft.com/office/drawing/2014/chart" uri="{C3380CC4-5D6E-409C-BE32-E72D297353CC}">
              <c16:uniqueId val="{00000000-6B4E-41E5-A244-758598226A62}"/>
            </c:ext>
          </c:extLst>
        </c:ser>
        <c:ser>
          <c:idx val="1"/>
          <c:order val="1"/>
          <c:tx>
            <c:strRef>
              <c:f>Лист1!$C$1</c:f>
              <c:strCache>
                <c:ptCount val="1"/>
                <c:pt idx="0">
                  <c:v>II степень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IgGκ</c:v>
                </c:pt>
                <c:pt idx="1">
                  <c:v>IgGλ</c:v>
                </c:pt>
                <c:pt idx="2">
                  <c:v>IgAκ</c:v>
                </c:pt>
                <c:pt idx="3">
                  <c:v>IgAλ</c:v>
                </c:pt>
                <c:pt idx="4">
                  <c:v>редкие типы</c:v>
                </c:pt>
              </c:strCache>
            </c:strRef>
          </c:cat>
          <c:val>
            <c:numRef>
              <c:f>Лист1!$C$2:$C$6</c:f>
              <c:numCache>
                <c:formatCode>General</c:formatCode>
                <c:ptCount val="5"/>
                <c:pt idx="0">
                  <c:v>39.300000000000004</c:v>
                </c:pt>
                <c:pt idx="1">
                  <c:v>23.1</c:v>
                </c:pt>
                <c:pt idx="2">
                  <c:v>37.5</c:v>
                </c:pt>
                <c:pt idx="3">
                  <c:v>42.9</c:v>
                </c:pt>
                <c:pt idx="4">
                  <c:v>35</c:v>
                </c:pt>
              </c:numCache>
            </c:numRef>
          </c:val>
          <c:extLst xmlns:c16r2="http://schemas.microsoft.com/office/drawing/2015/06/chart">
            <c:ext xmlns:c16="http://schemas.microsoft.com/office/drawing/2014/chart" uri="{C3380CC4-5D6E-409C-BE32-E72D297353CC}">
              <c16:uniqueId val="{00000001-6B4E-41E5-A244-758598226A62}"/>
            </c:ext>
          </c:extLst>
        </c:ser>
        <c:ser>
          <c:idx val="2"/>
          <c:order val="2"/>
          <c:tx>
            <c:strRef>
              <c:f>Лист1!$D$1</c:f>
              <c:strCache>
                <c:ptCount val="1"/>
                <c:pt idx="0">
                  <c:v>III степень</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IgGκ</c:v>
                </c:pt>
                <c:pt idx="1">
                  <c:v>IgGλ</c:v>
                </c:pt>
                <c:pt idx="2">
                  <c:v>IgAκ</c:v>
                </c:pt>
                <c:pt idx="3">
                  <c:v>IgAλ</c:v>
                </c:pt>
                <c:pt idx="4">
                  <c:v>редкие типы</c:v>
                </c:pt>
              </c:strCache>
            </c:strRef>
          </c:cat>
          <c:val>
            <c:numRef>
              <c:f>Лист1!$D$2:$D$6</c:f>
              <c:numCache>
                <c:formatCode>General</c:formatCode>
                <c:ptCount val="5"/>
                <c:pt idx="0">
                  <c:v>28.6</c:v>
                </c:pt>
                <c:pt idx="1">
                  <c:v>50</c:v>
                </c:pt>
                <c:pt idx="2">
                  <c:v>25</c:v>
                </c:pt>
                <c:pt idx="3">
                  <c:v>42.9</c:v>
                </c:pt>
                <c:pt idx="4">
                  <c:v>40</c:v>
                </c:pt>
              </c:numCache>
            </c:numRef>
          </c:val>
          <c:extLst xmlns:c16r2="http://schemas.microsoft.com/office/drawing/2015/06/chart">
            <c:ext xmlns:c16="http://schemas.microsoft.com/office/drawing/2014/chart" uri="{C3380CC4-5D6E-409C-BE32-E72D297353CC}">
              <c16:uniqueId val="{00000002-6B4E-41E5-A244-758598226A62}"/>
            </c:ext>
          </c:extLst>
        </c:ser>
        <c:gapWidth val="219"/>
        <c:overlap val="-27"/>
        <c:axId val="133056768"/>
        <c:axId val="99233792"/>
      </c:barChart>
      <c:catAx>
        <c:axId val="133056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33792"/>
        <c:crosses val="autoZero"/>
        <c:auto val="1"/>
        <c:lblAlgn val="ctr"/>
        <c:lblOffset val="100"/>
      </c:catAx>
      <c:valAx>
        <c:axId val="99233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0567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гемоглобина</a:t>
            </a:r>
          </a:p>
        </c:rich>
      </c:tx>
      <c:spPr>
        <a:noFill/>
        <a:ln>
          <a:noFill/>
        </a:ln>
        <a:effectLst/>
      </c:spPr>
    </c:title>
    <c:plotArea>
      <c:layout/>
      <c:barChart>
        <c:barDir val="col"/>
        <c:grouping val="clustered"/>
        <c:ser>
          <c:idx val="0"/>
          <c:order val="0"/>
          <c:tx>
            <c:strRef>
              <c:f>Лист1!$B$1</c:f>
              <c:strCache>
                <c:ptCount val="1"/>
                <c:pt idx="0">
                  <c:v>А стадия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highlight>
                      <a:srgbClr val="FF00FF"/>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119-91 г/л</c:v>
                </c:pt>
                <c:pt idx="1">
                  <c:v>90-71 г/л</c:v>
                </c:pt>
                <c:pt idx="2">
                  <c:v>70 г/л и ниже</c:v>
                </c:pt>
              </c:strCache>
            </c:strRef>
          </c:cat>
          <c:val>
            <c:numRef>
              <c:f>Лист1!$B$2:$B$4</c:f>
              <c:numCache>
                <c:formatCode>0.00%</c:formatCode>
                <c:ptCount val="3"/>
                <c:pt idx="0">
                  <c:v>0.10500000000000001</c:v>
                </c:pt>
                <c:pt idx="1">
                  <c:v>0.18500000000000003</c:v>
                </c:pt>
                <c:pt idx="2">
                  <c:v>0.161</c:v>
                </c:pt>
              </c:numCache>
            </c:numRef>
          </c:val>
          <c:extLst xmlns:c16r2="http://schemas.microsoft.com/office/drawing/2015/06/chart">
            <c:ext xmlns:c16="http://schemas.microsoft.com/office/drawing/2014/chart" uri="{C3380CC4-5D6E-409C-BE32-E72D297353CC}">
              <c16:uniqueId val="{00000000-FDD2-491E-A2BF-5425C2E44CAD}"/>
            </c:ext>
          </c:extLst>
        </c:ser>
        <c:ser>
          <c:idx val="1"/>
          <c:order val="1"/>
          <c:tx>
            <c:strRef>
              <c:f>Лист1!$C$1</c:f>
              <c:strCache>
                <c:ptCount val="1"/>
                <c:pt idx="0">
                  <c:v>В стадия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highlight>
                      <a:srgbClr val="FF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119-91 г/л</c:v>
                </c:pt>
                <c:pt idx="1">
                  <c:v>90-71 г/л</c:v>
                </c:pt>
                <c:pt idx="2">
                  <c:v>70 г/л и ниже</c:v>
                </c:pt>
              </c:strCache>
            </c:strRef>
          </c:cat>
          <c:val>
            <c:numRef>
              <c:f>Лист1!$C$2:$C$4</c:f>
              <c:numCache>
                <c:formatCode>0.00%</c:formatCode>
                <c:ptCount val="3"/>
                <c:pt idx="0">
                  <c:v>8.9000000000000037E-2</c:v>
                </c:pt>
                <c:pt idx="1">
                  <c:v>0.15300000000000002</c:v>
                </c:pt>
                <c:pt idx="2">
                  <c:v>0.20200000000000001</c:v>
                </c:pt>
              </c:numCache>
            </c:numRef>
          </c:val>
          <c:extLst xmlns:c16r2="http://schemas.microsoft.com/office/drawing/2015/06/chart">
            <c:ext xmlns:c16="http://schemas.microsoft.com/office/drawing/2014/chart" uri="{C3380CC4-5D6E-409C-BE32-E72D297353CC}">
              <c16:uniqueId val="{00000001-FDD2-491E-A2BF-5425C2E44CAD}"/>
            </c:ext>
          </c:extLst>
        </c:ser>
        <c:axId val="99246848"/>
        <c:axId val="99248384"/>
      </c:barChart>
      <c:catAx>
        <c:axId val="99246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48384"/>
        <c:crosses val="autoZero"/>
        <c:auto val="1"/>
        <c:lblAlgn val="ctr"/>
        <c:lblOffset val="100"/>
      </c:catAx>
      <c:valAx>
        <c:axId val="9924838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46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тромбоцитов</a:t>
            </a:r>
          </a:p>
        </c:rich>
      </c:tx>
      <c:spPr>
        <a:noFill/>
        <a:ln>
          <a:noFill/>
        </a:ln>
        <a:effectLst/>
      </c:spPr>
    </c:title>
    <c:plotArea>
      <c:layout/>
      <c:barChart>
        <c:barDir val="col"/>
        <c:grouping val="clustered"/>
        <c:varyColors val="1"/>
        <c:ser>
          <c:idx val="0"/>
          <c:order val="0"/>
          <c:tx>
            <c:strRef>
              <c:f>Лист1!$B$1</c:f>
              <c:strCache>
                <c:ptCount val="1"/>
                <c:pt idx="0">
                  <c:v>кол-во тромбоцитов</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6D3F-44FC-A84B-0F4199F88AB5}"/>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6D3F-44FC-A84B-0F4199F88AB5}"/>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6D3F-44FC-A84B-0F4199F88AB5}"/>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6D3F-44FC-A84B-0F4199F88AB5}"/>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highlight>
                      <a:srgbClr val="FFFF00"/>
                    </a:highlight>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 стадия</c:v>
                </c:pt>
                <c:pt idx="1">
                  <c:v>В стадия </c:v>
                </c:pt>
                <c:pt idx="2">
                  <c:v>больные с цепью «κ» </c:v>
                </c:pt>
                <c:pt idx="3">
                  <c:v>больные с цепью «λ» </c:v>
                </c:pt>
              </c:strCache>
            </c:strRef>
          </c:cat>
          <c:val>
            <c:numRef>
              <c:f>Лист1!$B$2:$B$5</c:f>
              <c:numCache>
                <c:formatCode>General</c:formatCode>
                <c:ptCount val="4"/>
                <c:pt idx="0">
                  <c:v>151.9</c:v>
                </c:pt>
                <c:pt idx="1">
                  <c:v>140.30000000000001</c:v>
                </c:pt>
                <c:pt idx="2">
                  <c:v>150.30000000000001</c:v>
                </c:pt>
                <c:pt idx="3">
                  <c:v>120.8</c:v>
                </c:pt>
              </c:numCache>
            </c:numRef>
          </c:val>
          <c:extLst xmlns:c16r2="http://schemas.microsoft.com/office/drawing/2015/06/chart">
            <c:ext xmlns:c16="http://schemas.microsoft.com/office/drawing/2014/chart" uri="{C3380CC4-5D6E-409C-BE32-E72D297353CC}">
              <c16:uniqueId val="{00000008-6D3F-44FC-A84B-0F4199F88AB5}"/>
            </c:ext>
          </c:extLst>
        </c:ser>
        <c:gapWidth val="219"/>
        <c:overlap val="-27"/>
        <c:axId val="99323904"/>
        <c:axId val="99325440"/>
      </c:barChart>
      <c:catAx>
        <c:axId val="99323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25440"/>
        <c:crosses val="autoZero"/>
        <c:auto val="1"/>
        <c:lblAlgn val="ctr"/>
        <c:lblOffset val="100"/>
      </c:catAx>
      <c:valAx>
        <c:axId val="99325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23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лейкоцитов</a:t>
            </a:r>
          </a:p>
        </c:rich>
      </c:tx>
      <c:spPr>
        <a:noFill/>
        <a:ln>
          <a:noFill/>
        </a:ln>
        <a:effectLst/>
      </c:spPr>
    </c:title>
    <c:plotArea>
      <c:layout/>
      <c:barChart>
        <c:barDir val="col"/>
        <c:grouping val="clustered"/>
        <c:ser>
          <c:idx val="0"/>
          <c:order val="0"/>
          <c:tx>
            <c:strRef>
              <c:f>Лист1!$D$1</c:f>
              <c:strCache>
                <c:ptCount val="1"/>
                <c:pt idx="0">
                  <c:v>IgАκ</c:v>
                </c:pt>
              </c:strCache>
            </c:strRef>
          </c:tx>
          <c:spPr>
            <a:solidFill>
              <a:schemeClr val="accent1"/>
            </a:solidFill>
            <a:ln>
              <a:noFill/>
            </a:ln>
            <a:effectLst/>
          </c:spPr>
          <c:dLbls>
            <c:dLbl>
              <c:idx val="2"/>
              <c:layout>
                <c:manualLayout>
                  <c:x val="-4.6296296296296302E-3"/>
                  <c:y val="1.9212295869356393E-2"/>
                </c:manualLayout>
              </c:layout>
              <c:showVal val="1"/>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&lt;4,0 </c:v>
                </c:pt>
                <c:pt idx="1">
                  <c:v>≤2,0</c:v>
                </c:pt>
                <c:pt idx="2">
                  <c:v>≤1,0</c:v>
                </c:pt>
                <c:pt idx="3">
                  <c:v>&gt;9,0</c:v>
                </c:pt>
              </c:strCache>
            </c:strRef>
          </c:cat>
          <c:val>
            <c:numRef>
              <c:f>Лист1!$B$2:$B$5</c:f>
              <c:numCache>
                <c:formatCode>0.00%</c:formatCode>
                <c:ptCount val="4"/>
                <c:pt idx="0">
                  <c:v>0.14500000000000021</c:v>
                </c:pt>
                <c:pt idx="1">
                  <c:v>1.6000000000000021E-2</c:v>
                </c:pt>
                <c:pt idx="2">
                  <c:v>8.0000000000000227E-3</c:v>
                </c:pt>
                <c:pt idx="3">
                  <c:v>8.0600000000000047E-2</c:v>
                </c:pt>
              </c:numCache>
            </c:numRef>
          </c:val>
          <c:extLst xmlns:c16r2="http://schemas.microsoft.com/office/drawing/2015/06/chart">
            <c:ext xmlns:c16="http://schemas.microsoft.com/office/drawing/2014/chart" uri="{C3380CC4-5D6E-409C-BE32-E72D297353CC}">
              <c16:uniqueId val="{00000000-11A7-4D4B-BF54-4A5D4C2FC1B9}"/>
            </c:ext>
          </c:extLst>
        </c:ser>
        <c:ser>
          <c:idx val="1"/>
          <c:order val="1"/>
          <c:tx>
            <c:strRef>
              <c:f>Лист1!$C$1</c:f>
              <c:strCache>
                <c:ptCount val="1"/>
                <c:pt idx="0">
                  <c:v>IgGλ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&lt;4,0 </c:v>
                </c:pt>
                <c:pt idx="1">
                  <c:v>≤2,0</c:v>
                </c:pt>
                <c:pt idx="2">
                  <c:v>≤1,0</c:v>
                </c:pt>
                <c:pt idx="3">
                  <c:v>&gt;9,0</c:v>
                </c:pt>
              </c:strCache>
            </c:strRef>
          </c:cat>
          <c:val>
            <c:numRef>
              <c:f>Лист1!$C$2:$C$5</c:f>
              <c:numCache>
                <c:formatCode>General</c:formatCode>
                <c:ptCount val="4"/>
                <c:pt idx="0" formatCode="0.00%">
                  <c:v>6.5000000000000002E-2</c:v>
                </c:pt>
                <c:pt idx="1">
                  <c:v>0</c:v>
                </c:pt>
                <c:pt idx="2" formatCode="0.00%">
                  <c:v>1.6000000000000021E-2</c:v>
                </c:pt>
                <c:pt idx="3">
                  <c:v>0</c:v>
                </c:pt>
              </c:numCache>
            </c:numRef>
          </c:val>
          <c:extLst xmlns:c16r2="http://schemas.microsoft.com/office/drawing/2015/06/chart">
            <c:ext xmlns:c16="http://schemas.microsoft.com/office/drawing/2014/chart" uri="{C3380CC4-5D6E-409C-BE32-E72D297353CC}">
              <c16:uniqueId val="{00000001-11A7-4D4B-BF54-4A5D4C2FC1B9}"/>
            </c:ext>
          </c:extLst>
        </c:ser>
        <c:ser>
          <c:idx val="2"/>
          <c:order val="2"/>
          <c:tx>
            <c:strRef>
              <c:f>Лист1!#REF!</c:f>
              <c:strCache>
                <c:ptCount val="1"/>
                <c:pt idx="0">
                  <c:v>#REF!</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&lt;4,0 </c:v>
                </c:pt>
                <c:pt idx="1">
                  <c:v>≤2,0</c:v>
                </c:pt>
                <c:pt idx="2">
                  <c:v>≤1,0</c:v>
                </c:pt>
                <c:pt idx="3">
                  <c:v>&gt;9,0</c:v>
                </c:pt>
              </c:strCache>
            </c:strRef>
          </c:cat>
          <c:val>
            <c:numRef>
              <c:f>Лист1!$D$2:$D$5</c:f>
              <c:numCache>
                <c:formatCode>General</c:formatCode>
                <c:ptCount val="4"/>
                <c:pt idx="0" formatCode="0.00%">
                  <c:v>3.2000000000000042E-2</c:v>
                </c:pt>
                <c:pt idx="1">
                  <c:v>0</c:v>
                </c:pt>
                <c:pt idx="2">
                  <c:v>0</c:v>
                </c:pt>
                <c:pt idx="3" formatCode="0.00%">
                  <c:v>8.0000000000000227E-3</c:v>
                </c:pt>
              </c:numCache>
            </c:numRef>
          </c:val>
          <c:extLst xmlns:c16r2="http://schemas.microsoft.com/office/drawing/2015/06/chart">
            <c:ext xmlns:c16="http://schemas.microsoft.com/office/drawing/2014/chart" uri="{C3380CC4-5D6E-409C-BE32-E72D297353CC}">
              <c16:uniqueId val="{00000002-11A7-4D4B-BF54-4A5D4C2FC1B9}"/>
            </c:ext>
          </c:extLst>
        </c:ser>
        <c:gapWidth val="219"/>
        <c:overlap val="-27"/>
        <c:axId val="99422208"/>
        <c:axId val="99423744"/>
      </c:barChart>
      <c:catAx>
        <c:axId val="99422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423744"/>
        <c:crosses val="autoZero"/>
        <c:auto val="1"/>
        <c:lblAlgn val="ctr"/>
        <c:lblOffset val="100"/>
      </c:catAx>
      <c:valAx>
        <c:axId val="994237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422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СОЭ</a:t>
            </a:r>
          </a:p>
        </c:rich>
      </c:tx>
      <c:spPr>
        <a:noFill/>
        <a:ln>
          <a:noFill/>
        </a:ln>
        <a:effectLst/>
      </c:spPr>
    </c:title>
    <c:plotArea>
      <c:layout/>
      <c:barChart>
        <c:barDir val="col"/>
        <c:grouping val="clustered"/>
        <c:ser>
          <c:idx val="0"/>
          <c:order val="0"/>
          <c:tx>
            <c:strRef>
              <c:f>Лист1!$B$1</c:f>
              <c:strCache>
                <c:ptCount val="1"/>
                <c:pt idx="0">
                  <c:v>IgGκ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≤30 мм/ч</c:v>
                </c:pt>
                <c:pt idx="1">
                  <c:v>≤50 мм/ч</c:v>
                </c:pt>
                <c:pt idx="2">
                  <c:v>&gt;50 мм/ч</c:v>
                </c:pt>
              </c:strCache>
            </c:strRef>
          </c:cat>
          <c:val>
            <c:numRef>
              <c:f>Лист1!$B$2:$B$5</c:f>
              <c:numCache>
                <c:formatCode>0.00%</c:formatCode>
                <c:ptCount val="4"/>
                <c:pt idx="0">
                  <c:v>0.20200000000000001</c:v>
                </c:pt>
                <c:pt idx="1">
                  <c:v>6.6000000000000003E-2</c:v>
                </c:pt>
                <c:pt idx="2">
                  <c:v>0.18600000000000044</c:v>
                </c:pt>
              </c:numCache>
            </c:numRef>
          </c:val>
          <c:extLst xmlns:c16r2="http://schemas.microsoft.com/office/drawing/2015/06/chart">
            <c:ext xmlns:c16="http://schemas.microsoft.com/office/drawing/2014/chart" uri="{C3380CC4-5D6E-409C-BE32-E72D297353CC}">
              <c16:uniqueId val="{00000000-E022-4EDC-B5C4-CD9A2AE6D0C4}"/>
            </c:ext>
          </c:extLst>
        </c:ser>
        <c:ser>
          <c:idx val="1"/>
          <c:order val="1"/>
          <c:tx>
            <c:strRef>
              <c:f>Лист1!$C$1</c:f>
              <c:strCache>
                <c:ptCount val="1"/>
                <c:pt idx="0">
                  <c:v>IgGλ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≤30 мм/ч</c:v>
                </c:pt>
                <c:pt idx="1">
                  <c:v>≤50 мм/ч</c:v>
                </c:pt>
                <c:pt idx="2">
                  <c:v>&gt;50 мм/ч</c:v>
                </c:pt>
              </c:strCache>
            </c:strRef>
          </c:cat>
          <c:val>
            <c:numRef>
              <c:f>Лист1!$C$2:$C$5</c:f>
              <c:numCache>
                <c:formatCode>0.00%</c:formatCode>
                <c:ptCount val="4"/>
                <c:pt idx="0">
                  <c:v>7.3000000000000009E-2</c:v>
                </c:pt>
                <c:pt idx="1">
                  <c:v>3.2000000000000042E-2</c:v>
                </c:pt>
                <c:pt idx="2">
                  <c:v>0.10500000000000002</c:v>
                </c:pt>
              </c:numCache>
            </c:numRef>
          </c:val>
          <c:extLst xmlns:c16r2="http://schemas.microsoft.com/office/drawing/2015/06/chart">
            <c:ext xmlns:c16="http://schemas.microsoft.com/office/drawing/2014/chart" uri="{C3380CC4-5D6E-409C-BE32-E72D297353CC}">
              <c16:uniqueId val="{00000001-E022-4EDC-B5C4-CD9A2AE6D0C4}"/>
            </c:ext>
          </c:extLst>
        </c:ser>
        <c:ser>
          <c:idx val="2"/>
          <c:order val="2"/>
          <c:tx>
            <c:strRef>
              <c:f>Лист1!$D$1</c:f>
              <c:strCache>
                <c:ptCount val="1"/>
                <c:pt idx="0">
                  <c:v>IgАκ</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≤30 мм/ч</c:v>
                </c:pt>
                <c:pt idx="1">
                  <c:v>≤50 мм/ч</c:v>
                </c:pt>
                <c:pt idx="2">
                  <c:v>&gt;50 мм/ч</c:v>
                </c:pt>
              </c:strCache>
            </c:strRef>
          </c:cat>
          <c:val>
            <c:numRef>
              <c:f>Лист1!$D$2:$D$5</c:f>
              <c:numCache>
                <c:formatCode>General</c:formatCode>
                <c:ptCount val="4"/>
                <c:pt idx="0" formatCode="0.00%">
                  <c:v>2.4E-2</c:v>
                </c:pt>
                <c:pt idx="1">
                  <c:v>0</c:v>
                </c:pt>
                <c:pt idx="2" formatCode="0.00%">
                  <c:v>4.0000000000000022E-2</c:v>
                </c:pt>
              </c:numCache>
            </c:numRef>
          </c:val>
          <c:extLst xmlns:c16r2="http://schemas.microsoft.com/office/drawing/2015/06/chart">
            <c:ext xmlns:c16="http://schemas.microsoft.com/office/drawing/2014/chart" uri="{C3380CC4-5D6E-409C-BE32-E72D297353CC}">
              <c16:uniqueId val="{00000002-E022-4EDC-B5C4-CD9A2AE6D0C4}"/>
            </c:ext>
          </c:extLst>
        </c:ser>
        <c:ser>
          <c:idx val="3"/>
          <c:order val="3"/>
          <c:tx>
            <c:strRef>
              <c:f>Лист1!$E$1</c:f>
              <c:strCache>
                <c:ptCount val="1"/>
                <c:pt idx="0">
                  <c:v>IgАλ</c:v>
                </c:pt>
              </c:strCache>
            </c:strRef>
          </c:tx>
          <c:spPr>
            <a:solidFill>
              <a:schemeClr val="accent4"/>
            </a:solidFill>
            <a:ln>
              <a:noFill/>
            </a:ln>
            <a:effectLst/>
          </c:spPr>
          <c:dLbls>
            <c:dLbl>
              <c:idx val="0"/>
              <c:layout>
                <c:manualLayout>
                  <c:x val="-2.3148148148148572E-3"/>
                  <c:y val="6.3492063492063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22-4EDC-B5C4-CD9A2AE6D0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≤30 мм/ч</c:v>
                </c:pt>
                <c:pt idx="1">
                  <c:v>≤50 мм/ч</c:v>
                </c:pt>
                <c:pt idx="2">
                  <c:v>&gt;50 мм/ч</c:v>
                </c:pt>
              </c:strCache>
            </c:strRef>
          </c:cat>
          <c:val>
            <c:numRef>
              <c:f>Лист1!$E$2:$E$5</c:f>
              <c:numCache>
                <c:formatCode>0.00%</c:formatCode>
                <c:ptCount val="4"/>
                <c:pt idx="0">
                  <c:v>2.4E-2</c:v>
                </c:pt>
                <c:pt idx="1">
                  <c:v>1.6000000000000021E-2</c:v>
                </c:pt>
                <c:pt idx="2">
                  <c:v>7.3000000000000009E-2</c:v>
                </c:pt>
              </c:numCache>
            </c:numRef>
          </c:val>
          <c:extLst xmlns:c16r2="http://schemas.microsoft.com/office/drawing/2015/06/chart">
            <c:ext xmlns:c16="http://schemas.microsoft.com/office/drawing/2014/chart" uri="{C3380CC4-5D6E-409C-BE32-E72D297353CC}">
              <c16:uniqueId val="{00000004-E022-4EDC-B5C4-CD9A2AE6D0C4}"/>
            </c:ext>
          </c:extLst>
        </c:ser>
        <c:ser>
          <c:idx val="4"/>
          <c:order val="4"/>
          <c:tx>
            <c:strRef>
              <c:f>Лист1!$F$1</c:f>
              <c:strCache>
                <c:ptCount val="1"/>
                <c:pt idx="0">
                  <c:v>редкие варианты</c:v>
                </c:pt>
              </c:strCache>
            </c:strRef>
          </c:tx>
          <c:spPr>
            <a:solidFill>
              <a:schemeClr val="accent5"/>
            </a:solidFill>
            <a:ln>
              <a:noFill/>
            </a:ln>
            <a:effectLst/>
          </c:spPr>
          <c:dLbls>
            <c:dLbl>
              <c:idx val="1"/>
              <c:layout>
                <c:manualLayout>
                  <c:x val="4.6296296296295504E-3"/>
                  <c:y val="-3.57142857142857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22-4EDC-B5C4-CD9A2AE6D0C4}"/>
                </c:ext>
              </c:extLst>
            </c:dLbl>
            <c:dLbl>
              <c:idx val="2"/>
              <c:layout>
                <c:manualLayout>
                  <c:x val="2.7777777777778043E-2"/>
                  <c:y val="3.96825396825389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22-4EDC-B5C4-CD9A2AE6D0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≤30 мм/ч</c:v>
                </c:pt>
                <c:pt idx="1">
                  <c:v>≤50 мм/ч</c:v>
                </c:pt>
                <c:pt idx="2">
                  <c:v>&gt;50 мм/ч</c:v>
                </c:pt>
              </c:strCache>
            </c:strRef>
          </c:cat>
          <c:val>
            <c:numRef>
              <c:f>Лист1!$F$2:$F$5</c:f>
              <c:numCache>
                <c:formatCode>0.00%</c:formatCode>
                <c:ptCount val="4"/>
                <c:pt idx="0">
                  <c:v>7.3000000000000009E-2</c:v>
                </c:pt>
                <c:pt idx="1">
                  <c:v>2.4E-2</c:v>
                </c:pt>
                <c:pt idx="2">
                  <c:v>6.5000000000000002E-2</c:v>
                </c:pt>
              </c:numCache>
            </c:numRef>
          </c:val>
          <c:extLst xmlns:c16r2="http://schemas.microsoft.com/office/drawing/2015/06/chart">
            <c:ext xmlns:c16="http://schemas.microsoft.com/office/drawing/2014/chart" uri="{C3380CC4-5D6E-409C-BE32-E72D297353CC}">
              <c16:uniqueId val="{00000007-E022-4EDC-B5C4-CD9A2AE6D0C4}"/>
            </c:ext>
          </c:extLst>
        </c:ser>
        <c:axId val="99510528"/>
        <c:axId val="99520512"/>
      </c:barChart>
      <c:catAx>
        <c:axId val="99510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20512"/>
        <c:crosses val="autoZero"/>
        <c:auto val="1"/>
        <c:lblAlgn val="ctr"/>
        <c:lblOffset val="100"/>
      </c:catAx>
      <c:valAx>
        <c:axId val="9952051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105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A8B2A0-66C3-4573-B064-093186E3CA9C}" type="doc">
      <dgm:prSet loTypeId="urn:microsoft.com/office/officeart/2005/8/layout/hProcess9" loCatId="process" qsTypeId="urn:microsoft.com/office/officeart/2005/8/quickstyle/simple3" qsCatId="simple" csTypeId="urn:microsoft.com/office/officeart/2005/8/colors/accent1_2" csCatId="accent1" phldr="1"/>
      <dgm:spPr/>
    </dgm:pt>
    <dgm:pt modelId="{995DAFDC-0A50-4230-9C12-87F7AF185C4F}">
      <dgm:prSet phldrT="[Текст]" custT="1"/>
      <dgm:spPr>
        <a:xfrm>
          <a:off x="5893" y="877824"/>
          <a:ext cx="1765935" cy="117043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Проведение 4 курса ПХТ</a:t>
          </a:r>
        </a:p>
      </dgm:t>
    </dgm:pt>
    <dgm:pt modelId="{9C937BAA-A4D3-40AD-8495-19F453371C46}" type="parTrans" cxnId="{87926C9E-8333-4D46-B3F4-5DEEC16F018B}">
      <dgm:prSet/>
      <dgm:spPr/>
      <dgm:t>
        <a:bodyPr/>
        <a:lstStyle/>
        <a:p>
          <a:endParaRPr lang="ru-RU"/>
        </a:p>
      </dgm:t>
    </dgm:pt>
    <dgm:pt modelId="{1C5D0ECB-1A04-4C1E-88FB-1018D3F2A6C4}" type="sibTrans" cxnId="{87926C9E-8333-4D46-B3F4-5DEEC16F018B}">
      <dgm:prSet/>
      <dgm:spPr/>
      <dgm:t>
        <a:bodyPr/>
        <a:lstStyle/>
        <a:p>
          <a:endParaRPr lang="ru-RU"/>
        </a:p>
      </dgm:t>
    </dgm:pt>
    <dgm:pt modelId="{E8B1643C-8C1A-4605-947C-F0B15B8EF29A}">
      <dgm:prSet phldrT="[Текст]" custT="1"/>
      <dgm:spPr>
        <a:xfrm>
          <a:off x="1860232" y="877824"/>
          <a:ext cx="1765935" cy="117043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Клинико-гематологическая ремиссия</a:t>
          </a:r>
        </a:p>
      </dgm:t>
    </dgm:pt>
    <dgm:pt modelId="{64F69D0A-0390-4B83-8B19-34BAD4BE15A4}" type="parTrans" cxnId="{449121C5-1DFD-4BD5-9DD5-88E3A17D5705}">
      <dgm:prSet/>
      <dgm:spPr/>
      <dgm:t>
        <a:bodyPr/>
        <a:lstStyle/>
        <a:p>
          <a:endParaRPr lang="ru-RU"/>
        </a:p>
      </dgm:t>
    </dgm:pt>
    <dgm:pt modelId="{6ECAD308-89B3-46A9-A5EA-F866481D5E12}" type="sibTrans" cxnId="{449121C5-1DFD-4BD5-9DD5-88E3A17D5705}">
      <dgm:prSet/>
      <dgm:spPr/>
      <dgm:t>
        <a:bodyPr/>
        <a:lstStyle/>
        <a:p>
          <a:endParaRPr lang="ru-RU"/>
        </a:p>
      </dgm:t>
    </dgm:pt>
    <dgm:pt modelId="{D7A5D71B-C9AD-4927-97D3-D282AC4435E2}">
      <dgm:prSet phldrT="[Текст]" custT="1"/>
      <dgm:spPr>
        <a:xfrm>
          <a:off x="3714571" y="877824"/>
          <a:ext cx="1765935" cy="117043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мобилизация (заготовка) достаточного количества </a:t>
          </a:r>
          <a:r>
            <a:rPr lang="en-US" sz="1400">
              <a:solidFill>
                <a:sysClr val="windowText" lastClr="000000"/>
              </a:solidFill>
              <a:latin typeface="Times New Roman" panose="02020603050405020304" pitchFamily="18" charset="0"/>
              <a:ea typeface="+mn-ea"/>
              <a:cs typeface="Times New Roman" panose="02020603050405020304" pitchFamily="18" charset="0"/>
            </a:rPr>
            <a:t>CD34+ </a:t>
          </a:r>
          <a:r>
            <a:rPr lang="ru-RU" sz="1400">
              <a:solidFill>
                <a:sysClr val="windowText" lastClr="000000"/>
              </a:solidFill>
              <a:latin typeface="Times New Roman" panose="02020603050405020304" pitchFamily="18" charset="0"/>
              <a:ea typeface="+mn-ea"/>
              <a:cs typeface="Times New Roman" panose="02020603050405020304" pitchFamily="18" charset="0"/>
            </a:rPr>
            <a:t>клеток (Г-КСФ 10 МЕ/кг). </a:t>
          </a:r>
        </a:p>
      </dgm:t>
    </dgm:pt>
    <dgm:pt modelId="{0AA93260-0125-4716-8929-FEA599B5DC4F}" type="parTrans" cxnId="{993B3A2C-366F-4C83-A77C-80594362CDE9}">
      <dgm:prSet/>
      <dgm:spPr/>
      <dgm:t>
        <a:bodyPr/>
        <a:lstStyle/>
        <a:p>
          <a:endParaRPr lang="ru-RU"/>
        </a:p>
      </dgm:t>
    </dgm:pt>
    <dgm:pt modelId="{10771DC1-A9DC-43A8-BFAC-37840FF672DC}" type="sibTrans" cxnId="{993B3A2C-366F-4C83-A77C-80594362CDE9}">
      <dgm:prSet/>
      <dgm:spPr/>
      <dgm:t>
        <a:bodyPr/>
        <a:lstStyle/>
        <a:p>
          <a:endParaRPr lang="ru-RU"/>
        </a:p>
      </dgm:t>
    </dgm:pt>
    <dgm:pt modelId="{CA3EE36D-25D3-403E-8878-3D7F16AB402F}" type="pres">
      <dgm:prSet presAssocID="{A6A8B2A0-66C3-4573-B064-093186E3CA9C}" presName="CompostProcess" presStyleCnt="0">
        <dgm:presLayoutVars>
          <dgm:dir/>
          <dgm:resizeHandles val="exact"/>
        </dgm:presLayoutVars>
      </dgm:prSet>
      <dgm:spPr/>
    </dgm:pt>
    <dgm:pt modelId="{0B1F546C-E7A2-41F3-B651-D5E358B888C3}" type="pres">
      <dgm:prSet presAssocID="{A6A8B2A0-66C3-4573-B064-093186E3CA9C}" presName="arrow" presStyleLbl="bgShp" presStyleIdx="0" presStyleCnt="1"/>
      <dgm:spPr>
        <a:xfrm>
          <a:off x="411479" y="0"/>
          <a:ext cx="4663440" cy="2926080"/>
        </a:xfrm>
        <a:prstGeom prst="rightArrow">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gm:spPr>
    </dgm:pt>
    <dgm:pt modelId="{29177F9B-E275-4502-B923-6E1949ACF20A}" type="pres">
      <dgm:prSet presAssocID="{A6A8B2A0-66C3-4573-B064-093186E3CA9C}" presName="linearProcess" presStyleCnt="0"/>
      <dgm:spPr/>
    </dgm:pt>
    <dgm:pt modelId="{2B5F813E-36F6-4862-B370-B666A41B748E}" type="pres">
      <dgm:prSet presAssocID="{995DAFDC-0A50-4230-9C12-87F7AF185C4F}" presName="textNode" presStyleLbl="node1" presStyleIdx="0" presStyleCnt="3" custScaleX="47490" custLinFactX="-24459" custLinFactNeighborX="-100000">
        <dgm:presLayoutVars>
          <dgm:bulletEnabled val="1"/>
        </dgm:presLayoutVars>
      </dgm:prSet>
      <dgm:spPr>
        <a:prstGeom prst="roundRect">
          <a:avLst/>
        </a:prstGeom>
      </dgm:spPr>
      <dgm:t>
        <a:bodyPr/>
        <a:lstStyle/>
        <a:p>
          <a:endParaRPr lang="ru-RU"/>
        </a:p>
      </dgm:t>
    </dgm:pt>
    <dgm:pt modelId="{856D6D8C-5122-4760-A960-66CCEA795C44}" type="pres">
      <dgm:prSet presAssocID="{1C5D0ECB-1A04-4C1E-88FB-1018D3F2A6C4}" presName="sibTrans" presStyleCnt="0"/>
      <dgm:spPr/>
    </dgm:pt>
    <dgm:pt modelId="{B45ABA96-D204-4641-BCF9-2CD4853C882E}" type="pres">
      <dgm:prSet presAssocID="{E8B1643C-8C1A-4605-947C-F0B15B8EF29A}" presName="textNode" presStyleLbl="node1" presStyleIdx="1" presStyleCnt="3" custScaleX="46829">
        <dgm:presLayoutVars>
          <dgm:bulletEnabled val="1"/>
        </dgm:presLayoutVars>
      </dgm:prSet>
      <dgm:spPr>
        <a:prstGeom prst="roundRect">
          <a:avLst/>
        </a:prstGeom>
      </dgm:spPr>
      <dgm:t>
        <a:bodyPr/>
        <a:lstStyle/>
        <a:p>
          <a:endParaRPr lang="ru-RU"/>
        </a:p>
      </dgm:t>
    </dgm:pt>
    <dgm:pt modelId="{5F34056C-ADF3-4C84-90F0-ABFB84F65356}" type="pres">
      <dgm:prSet presAssocID="{6ECAD308-89B3-46A9-A5EA-F866481D5E12}" presName="sibTrans" presStyleCnt="0"/>
      <dgm:spPr/>
    </dgm:pt>
    <dgm:pt modelId="{FAE32DE2-4099-4058-A0A7-EACE430D1E20}" type="pres">
      <dgm:prSet presAssocID="{D7A5D71B-C9AD-4927-97D3-D282AC4435E2}" presName="textNode" presStyleLbl="node1" presStyleIdx="2" presStyleCnt="3" custScaleX="69619">
        <dgm:presLayoutVars>
          <dgm:bulletEnabled val="1"/>
        </dgm:presLayoutVars>
      </dgm:prSet>
      <dgm:spPr>
        <a:prstGeom prst="roundRect">
          <a:avLst/>
        </a:prstGeom>
      </dgm:spPr>
      <dgm:t>
        <a:bodyPr/>
        <a:lstStyle/>
        <a:p>
          <a:endParaRPr lang="ru-RU"/>
        </a:p>
      </dgm:t>
    </dgm:pt>
  </dgm:ptLst>
  <dgm:cxnLst>
    <dgm:cxn modelId="{993B3A2C-366F-4C83-A77C-80594362CDE9}" srcId="{A6A8B2A0-66C3-4573-B064-093186E3CA9C}" destId="{D7A5D71B-C9AD-4927-97D3-D282AC4435E2}" srcOrd="2" destOrd="0" parTransId="{0AA93260-0125-4716-8929-FEA599B5DC4F}" sibTransId="{10771DC1-A9DC-43A8-BFAC-37840FF672DC}"/>
    <dgm:cxn modelId="{AA5FED53-6396-4C4C-B177-CEB9C2E60655}" type="presOf" srcId="{A6A8B2A0-66C3-4573-B064-093186E3CA9C}" destId="{CA3EE36D-25D3-403E-8878-3D7F16AB402F}" srcOrd="0" destOrd="0" presId="urn:microsoft.com/office/officeart/2005/8/layout/hProcess9"/>
    <dgm:cxn modelId="{449121C5-1DFD-4BD5-9DD5-88E3A17D5705}" srcId="{A6A8B2A0-66C3-4573-B064-093186E3CA9C}" destId="{E8B1643C-8C1A-4605-947C-F0B15B8EF29A}" srcOrd="1" destOrd="0" parTransId="{64F69D0A-0390-4B83-8B19-34BAD4BE15A4}" sibTransId="{6ECAD308-89B3-46A9-A5EA-F866481D5E12}"/>
    <dgm:cxn modelId="{87926C9E-8333-4D46-B3F4-5DEEC16F018B}" srcId="{A6A8B2A0-66C3-4573-B064-093186E3CA9C}" destId="{995DAFDC-0A50-4230-9C12-87F7AF185C4F}" srcOrd="0" destOrd="0" parTransId="{9C937BAA-A4D3-40AD-8495-19F453371C46}" sibTransId="{1C5D0ECB-1A04-4C1E-88FB-1018D3F2A6C4}"/>
    <dgm:cxn modelId="{A292F731-FF99-4C26-BF73-C323087657A9}" type="presOf" srcId="{E8B1643C-8C1A-4605-947C-F0B15B8EF29A}" destId="{B45ABA96-D204-4641-BCF9-2CD4853C882E}" srcOrd="0" destOrd="0" presId="urn:microsoft.com/office/officeart/2005/8/layout/hProcess9"/>
    <dgm:cxn modelId="{7439F800-B65D-422E-AB8F-D886D5C76C9B}" type="presOf" srcId="{995DAFDC-0A50-4230-9C12-87F7AF185C4F}" destId="{2B5F813E-36F6-4862-B370-B666A41B748E}" srcOrd="0" destOrd="0" presId="urn:microsoft.com/office/officeart/2005/8/layout/hProcess9"/>
    <dgm:cxn modelId="{6DC043B9-5EF9-469D-9068-FDE9879E91B5}" type="presOf" srcId="{D7A5D71B-C9AD-4927-97D3-D282AC4435E2}" destId="{FAE32DE2-4099-4058-A0A7-EACE430D1E20}" srcOrd="0" destOrd="0" presId="urn:microsoft.com/office/officeart/2005/8/layout/hProcess9"/>
    <dgm:cxn modelId="{D92BDA1E-CA9C-48C2-BB35-B77AB8BDA05A}" type="presParOf" srcId="{CA3EE36D-25D3-403E-8878-3D7F16AB402F}" destId="{0B1F546C-E7A2-41F3-B651-D5E358B888C3}" srcOrd="0" destOrd="0" presId="urn:microsoft.com/office/officeart/2005/8/layout/hProcess9"/>
    <dgm:cxn modelId="{8FEFC3AA-AF84-45CB-B69A-3CBAB0FE442A}" type="presParOf" srcId="{CA3EE36D-25D3-403E-8878-3D7F16AB402F}" destId="{29177F9B-E275-4502-B923-6E1949ACF20A}" srcOrd="1" destOrd="0" presId="urn:microsoft.com/office/officeart/2005/8/layout/hProcess9"/>
    <dgm:cxn modelId="{DE11B107-1B40-4EB4-9980-CB295D0F267E}" type="presParOf" srcId="{29177F9B-E275-4502-B923-6E1949ACF20A}" destId="{2B5F813E-36F6-4862-B370-B666A41B748E}" srcOrd="0" destOrd="0" presId="urn:microsoft.com/office/officeart/2005/8/layout/hProcess9"/>
    <dgm:cxn modelId="{750188F6-0D5B-4569-BF6C-610BA42E7B36}" type="presParOf" srcId="{29177F9B-E275-4502-B923-6E1949ACF20A}" destId="{856D6D8C-5122-4760-A960-66CCEA795C44}" srcOrd="1" destOrd="0" presId="urn:microsoft.com/office/officeart/2005/8/layout/hProcess9"/>
    <dgm:cxn modelId="{C36D2D48-6959-4A4E-9FD2-3CAD208F356F}" type="presParOf" srcId="{29177F9B-E275-4502-B923-6E1949ACF20A}" destId="{B45ABA96-D204-4641-BCF9-2CD4853C882E}" srcOrd="2" destOrd="0" presId="urn:microsoft.com/office/officeart/2005/8/layout/hProcess9"/>
    <dgm:cxn modelId="{6631E4FA-0CFF-4F2E-94B4-A3DFB7972705}" type="presParOf" srcId="{29177F9B-E275-4502-B923-6E1949ACF20A}" destId="{5F34056C-ADF3-4C84-90F0-ABFB84F65356}" srcOrd="3" destOrd="0" presId="urn:microsoft.com/office/officeart/2005/8/layout/hProcess9"/>
    <dgm:cxn modelId="{C64B916E-B7E1-4F95-A79C-5606CFFA4216}" type="presParOf" srcId="{29177F9B-E275-4502-B923-6E1949ACF20A}" destId="{FAE32DE2-4099-4058-A0A7-EACE430D1E20}" srcOrd="4" destOrd="0" presId="urn:microsoft.com/office/officeart/2005/8/layout/hProcess9"/>
  </dgm:cxnLst>
  <dgm:bg/>
  <dgm:whole/>
</dgm:dataModel>
</file>

<file path=word/diagrams/data2.xml><?xml version="1.0" encoding="utf-8"?>
<dgm:dataModel xmlns:dgm="http://schemas.openxmlformats.org/drawingml/2006/diagram" xmlns:a="http://schemas.openxmlformats.org/drawingml/2006/main">
  <dgm:ptLst>
    <dgm:pt modelId="{A6A8B2A0-66C3-4573-B064-093186E3CA9C}" type="doc">
      <dgm:prSet loTypeId="urn:microsoft.com/office/officeart/2005/8/layout/hProcess9" loCatId="process" qsTypeId="urn:microsoft.com/office/officeart/2005/8/quickstyle/simple3" qsCatId="simple" csTypeId="urn:microsoft.com/office/officeart/2005/8/colors/accent1_2" csCatId="accent1" phldr="1"/>
      <dgm:spPr/>
    </dgm:pt>
    <dgm:pt modelId="{995DAFDC-0A50-4230-9C12-87F7AF185C4F}">
      <dgm:prSet phldrT="[Текст]" custT="1"/>
      <dgm:spPr>
        <a:xfrm>
          <a:off x="324" y="674370"/>
          <a:ext cx="1732000" cy="89916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Кондиционирование (мелфалан 100 мг/м</a:t>
          </a:r>
          <a:r>
            <a:rPr lang="ru-RU" sz="1400" baseline="30000">
              <a:solidFill>
                <a:sysClr val="windowText" lastClr="000000"/>
              </a:solidFill>
              <a:latin typeface="Times New Roman" panose="02020603050405020304" pitchFamily="18" charset="0"/>
              <a:ea typeface="+mn-ea"/>
              <a:cs typeface="Times New Roman" panose="02020603050405020304" pitchFamily="18" charset="0"/>
            </a:rPr>
            <a:t>2</a:t>
          </a:r>
          <a:r>
            <a:rPr lang="ru-RU" sz="1400" baseline="0">
              <a:solidFill>
                <a:sysClr val="windowText" lastClr="000000"/>
              </a:solidFill>
              <a:latin typeface="Times New Roman" panose="02020603050405020304" pitchFamily="18" charset="0"/>
              <a:ea typeface="+mn-ea"/>
              <a:cs typeface="Times New Roman" panose="02020603050405020304" pitchFamily="18" charset="0"/>
            </a:rPr>
            <a:t>)</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9C937BAA-A4D3-40AD-8495-19F453371C46}" type="parTrans" cxnId="{87926C9E-8333-4D46-B3F4-5DEEC16F018B}">
      <dgm:prSet/>
      <dgm:spPr/>
      <dgm:t>
        <a:bodyPr/>
        <a:lstStyle/>
        <a:p>
          <a:endParaRPr lang="ru-RU"/>
        </a:p>
      </dgm:t>
    </dgm:pt>
    <dgm:pt modelId="{1C5D0ECB-1A04-4C1E-88FB-1018D3F2A6C4}" type="sibTrans" cxnId="{87926C9E-8333-4D46-B3F4-5DEEC16F018B}">
      <dgm:prSet/>
      <dgm:spPr/>
      <dgm:t>
        <a:bodyPr/>
        <a:lstStyle/>
        <a:p>
          <a:endParaRPr lang="ru-RU"/>
        </a:p>
      </dgm:t>
    </dgm:pt>
    <dgm:pt modelId="{E8B1643C-8C1A-4605-947C-F0B15B8EF29A}">
      <dgm:prSet phldrT="[Текст]" custT="1"/>
      <dgm:spPr>
        <a:xfrm>
          <a:off x="1984678" y="674370"/>
          <a:ext cx="1624522" cy="89916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аутоТГСК</a:t>
          </a:r>
        </a:p>
      </dgm:t>
    </dgm:pt>
    <dgm:pt modelId="{64F69D0A-0390-4B83-8B19-34BAD4BE15A4}" type="parTrans" cxnId="{449121C5-1DFD-4BD5-9DD5-88E3A17D5705}">
      <dgm:prSet/>
      <dgm:spPr/>
      <dgm:t>
        <a:bodyPr/>
        <a:lstStyle/>
        <a:p>
          <a:endParaRPr lang="ru-RU"/>
        </a:p>
      </dgm:t>
    </dgm:pt>
    <dgm:pt modelId="{6ECAD308-89B3-46A9-A5EA-F866481D5E12}" type="sibTrans" cxnId="{449121C5-1DFD-4BD5-9DD5-88E3A17D5705}">
      <dgm:prSet/>
      <dgm:spPr/>
      <dgm:t>
        <a:bodyPr/>
        <a:lstStyle/>
        <a:p>
          <a:endParaRPr lang="ru-RU"/>
        </a:p>
      </dgm:t>
    </dgm:pt>
    <dgm:pt modelId="{D7A5D71B-C9AD-4927-97D3-D282AC4435E2}">
      <dgm:prSet phldrT="[Текст]" custT="1"/>
      <dgm:spPr>
        <a:xfrm>
          <a:off x="3861553" y="674370"/>
          <a:ext cx="1624522" cy="89916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оценка эффективности аутоТГСК</a:t>
          </a:r>
        </a:p>
      </dgm:t>
    </dgm:pt>
    <dgm:pt modelId="{0AA93260-0125-4716-8929-FEA599B5DC4F}" type="parTrans" cxnId="{993B3A2C-366F-4C83-A77C-80594362CDE9}">
      <dgm:prSet/>
      <dgm:spPr/>
      <dgm:t>
        <a:bodyPr/>
        <a:lstStyle/>
        <a:p>
          <a:endParaRPr lang="ru-RU"/>
        </a:p>
      </dgm:t>
    </dgm:pt>
    <dgm:pt modelId="{10771DC1-A9DC-43A8-BFAC-37840FF672DC}" type="sibTrans" cxnId="{993B3A2C-366F-4C83-A77C-80594362CDE9}">
      <dgm:prSet/>
      <dgm:spPr/>
      <dgm:t>
        <a:bodyPr/>
        <a:lstStyle/>
        <a:p>
          <a:endParaRPr lang="ru-RU"/>
        </a:p>
      </dgm:t>
    </dgm:pt>
    <dgm:pt modelId="{CA3EE36D-25D3-403E-8878-3D7F16AB402F}" type="pres">
      <dgm:prSet presAssocID="{A6A8B2A0-66C3-4573-B064-093186E3CA9C}" presName="CompostProcess" presStyleCnt="0">
        <dgm:presLayoutVars>
          <dgm:dir/>
          <dgm:resizeHandles val="exact"/>
        </dgm:presLayoutVars>
      </dgm:prSet>
      <dgm:spPr/>
    </dgm:pt>
    <dgm:pt modelId="{0B1F546C-E7A2-41F3-B651-D5E358B888C3}" type="pres">
      <dgm:prSet presAssocID="{A6A8B2A0-66C3-4573-B064-093186E3CA9C}" presName="arrow" presStyleLbl="bgShp" presStyleIdx="0" presStyleCnt="1"/>
      <dgm:spPr>
        <a:xfrm>
          <a:off x="411479" y="0"/>
          <a:ext cx="4663440" cy="2247900"/>
        </a:xfrm>
        <a:prstGeom prst="rightArrow">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gm:spPr>
    </dgm:pt>
    <dgm:pt modelId="{29177F9B-E275-4502-B923-6E1949ACF20A}" type="pres">
      <dgm:prSet presAssocID="{A6A8B2A0-66C3-4573-B064-093186E3CA9C}" presName="linearProcess" presStyleCnt="0"/>
      <dgm:spPr/>
    </dgm:pt>
    <dgm:pt modelId="{2B5F813E-36F6-4862-B370-B666A41B748E}" type="pres">
      <dgm:prSet presAssocID="{995DAFDC-0A50-4230-9C12-87F7AF185C4F}" presName="textNode" presStyleLbl="node1" presStyleIdx="0" presStyleCnt="3" custScaleX="124304">
        <dgm:presLayoutVars>
          <dgm:bulletEnabled val="1"/>
        </dgm:presLayoutVars>
      </dgm:prSet>
      <dgm:spPr>
        <a:prstGeom prst="roundRect">
          <a:avLst/>
        </a:prstGeom>
      </dgm:spPr>
      <dgm:t>
        <a:bodyPr/>
        <a:lstStyle/>
        <a:p>
          <a:endParaRPr lang="ru-RU"/>
        </a:p>
      </dgm:t>
    </dgm:pt>
    <dgm:pt modelId="{856D6D8C-5122-4760-A960-66CCEA795C44}" type="pres">
      <dgm:prSet presAssocID="{1C5D0ECB-1A04-4C1E-88FB-1018D3F2A6C4}" presName="sibTrans" presStyleCnt="0"/>
      <dgm:spPr/>
    </dgm:pt>
    <dgm:pt modelId="{B45ABA96-D204-4641-BCF9-2CD4853C882E}" type="pres">
      <dgm:prSet presAssocID="{E8B1643C-8C1A-4605-947C-F0B15B8EF29A}" presName="textNode" presStyleLbl="node1" presStyleIdx="1" presStyleCnt="3">
        <dgm:presLayoutVars>
          <dgm:bulletEnabled val="1"/>
        </dgm:presLayoutVars>
      </dgm:prSet>
      <dgm:spPr>
        <a:prstGeom prst="roundRect">
          <a:avLst/>
        </a:prstGeom>
      </dgm:spPr>
      <dgm:t>
        <a:bodyPr/>
        <a:lstStyle/>
        <a:p>
          <a:endParaRPr lang="ru-RU"/>
        </a:p>
      </dgm:t>
    </dgm:pt>
    <dgm:pt modelId="{5F34056C-ADF3-4C84-90F0-ABFB84F65356}" type="pres">
      <dgm:prSet presAssocID="{6ECAD308-89B3-46A9-A5EA-F866481D5E12}" presName="sibTrans" presStyleCnt="0"/>
      <dgm:spPr/>
    </dgm:pt>
    <dgm:pt modelId="{FAE32DE2-4099-4058-A0A7-EACE430D1E20}" type="pres">
      <dgm:prSet presAssocID="{D7A5D71B-C9AD-4927-97D3-D282AC4435E2}" presName="textNode" presStyleLbl="node1" presStyleIdx="2" presStyleCnt="3">
        <dgm:presLayoutVars>
          <dgm:bulletEnabled val="1"/>
        </dgm:presLayoutVars>
      </dgm:prSet>
      <dgm:spPr>
        <a:prstGeom prst="roundRect">
          <a:avLst/>
        </a:prstGeom>
      </dgm:spPr>
      <dgm:t>
        <a:bodyPr/>
        <a:lstStyle/>
        <a:p>
          <a:endParaRPr lang="ru-RU"/>
        </a:p>
      </dgm:t>
    </dgm:pt>
  </dgm:ptLst>
  <dgm:cxnLst>
    <dgm:cxn modelId="{E5C94693-374E-40E3-9ED2-15EDD6660DD3}" type="presOf" srcId="{D7A5D71B-C9AD-4927-97D3-D282AC4435E2}" destId="{FAE32DE2-4099-4058-A0A7-EACE430D1E20}" srcOrd="0" destOrd="0" presId="urn:microsoft.com/office/officeart/2005/8/layout/hProcess9"/>
    <dgm:cxn modelId="{B99628A1-EF49-4E3D-AD7E-779FA8A4C48C}" type="presOf" srcId="{E8B1643C-8C1A-4605-947C-F0B15B8EF29A}" destId="{B45ABA96-D204-4641-BCF9-2CD4853C882E}" srcOrd="0" destOrd="0" presId="urn:microsoft.com/office/officeart/2005/8/layout/hProcess9"/>
    <dgm:cxn modelId="{993B3A2C-366F-4C83-A77C-80594362CDE9}" srcId="{A6A8B2A0-66C3-4573-B064-093186E3CA9C}" destId="{D7A5D71B-C9AD-4927-97D3-D282AC4435E2}" srcOrd="2" destOrd="0" parTransId="{0AA93260-0125-4716-8929-FEA599B5DC4F}" sibTransId="{10771DC1-A9DC-43A8-BFAC-37840FF672DC}"/>
    <dgm:cxn modelId="{AB335C3E-18C5-4E2E-BAE9-5A707D4ADF53}" type="presOf" srcId="{A6A8B2A0-66C3-4573-B064-093186E3CA9C}" destId="{CA3EE36D-25D3-403E-8878-3D7F16AB402F}" srcOrd="0" destOrd="0" presId="urn:microsoft.com/office/officeart/2005/8/layout/hProcess9"/>
    <dgm:cxn modelId="{449121C5-1DFD-4BD5-9DD5-88E3A17D5705}" srcId="{A6A8B2A0-66C3-4573-B064-093186E3CA9C}" destId="{E8B1643C-8C1A-4605-947C-F0B15B8EF29A}" srcOrd="1" destOrd="0" parTransId="{64F69D0A-0390-4B83-8B19-34BAD4BE15A4}" sibTransId="{6ECAD308-89B3-46A9-A5EA-F866481D5E12}"/>
    <dgm:cxn modelId="{E91478D9-90DF-4B69-808D-5A5ADCD854C5}" type="presOf" srcId="{995DAFDC-0A50-4230-9C12-87F7AF185C4F}" destId="{2B5F813E-36F6-4862-B370-B666A41B748E}" srcOrd="0" destOrd="0" presId="urn:microsoft.com/office/officeart/2005/8/layout/hProcess9"/>
    <dgm:cxn modelId="{87926C9E-8333-4D46-B3F4-5DEEC16F018B}" srcId="{A6A8B2A0-66C3-4573-B064-093186E3CA9C}" destId="{995DAFDC-0A50-4230-9C12-87F7AF185C4F}" srcOrd="0" destOrd="0" parTransId="{9C937BAA-A4D3-40AD-8495-19F453371C46}" sibTransId="{1C5D0ECB-1A04-4C1E-88FB-1018D3F2A6C4}"/>
    <dgm:cxn modelId="{48577C09-0F87-4268-AF8E-4E0A1096EF07}" type="presParOf" srcId="{CA3EE36D-25D3-403E-8878-3D7F16AB402F}" destId="{0B1F546C-E7A2-41F3-B651-D5E358B888C3}" srcOrd="0" destOrd="0" presId="urn:microsoft.com/office/officeart/2005/8/layout/hProcess9"/>
    <dgm:cxn modelId="{7FA2A019-E64C-4087-B2EC-33AB5AA3FCC0}" type="presParOf" srcId="{CA3EE36D-25D3-403E-8878-3D7F16AB402F}" destId="{29177F9B-E275-4502-B923-6E1949ACF20A}" srcOrd="1" destOrd="0" presId="urn:microsoft.com/office/officeart/2005/8/layout/hProcess9"/>
    <dgm:cxn modelId="{92F55DCF-7F1A-4D70-8E37-726BDDBAEB28}" type="presParOf" srcId="{29177F9B-E275-4502-B923-6E1949ACF20A}" destId="{2B5F813E-36F6-4862-B370-B666A41B748E}" srcOrd="0" destOrd="0" presId="urn:microsoft.com/office/officeart/2005/8/layout/hProcess9"/>
    <dgm:cxn modelId="{3B40DDDF-76D3-449F-A8AC-343A5B84FCF8}" type="presParOf" srcId="{29177F9B-E275-4502-B923-6E1949ACF20A}" destId="{856D6D8C-5122-4760-A960-66CCEA795C44}" srcOrd="1" destOrd="0" presId="urn:microsoft.com/office/officeart/2005/8/layout/hProcess9"/>
    <dgm:cxn modelId="{0A302E46-DCB1-4360-BE68-CE5D70757E20}" type="presParOf" srcId="{29177F9B-E275-4502-B923-6E1949ACF20A}" destId="{B45ABA96-D204-4641-BCF9-2CD4853C882E}" srcOrd="2" destOrd="0" presId="urn:microsoft.com/office/officeart/2005/8/layout/hProcess9"/>
    <dgm:cxn modelId="{0070D271-D41A-44F5-89DB-8F272EC25FA9}" type="presParOf" srcId="{29177F9B-E275-4502-B923-6E1949ACF20A}" destId="{5F34056C-ADF3-4C84-90F0-ABFB84F65356}" srcOrd="3" destOrd="0" presId="urn:microsoft.com/office/officeart/2005/8/layout/hProcess9"/>
    <dgm:cxn modelId="{C2492C56-733C-4549-8FAB-49026FD5AC66}" type="presParOf" srcId="{29177F9B-E275-4502-B923-6E1949ACF20A}" destId="{FAE32DE2-4099-4058-A0A7-EACE430D1E20}" srcOrd="4" destOrd="0" presId="urn:microsoft.com/office/officeart/2005/8/layout/hProcess9"/>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1F546C-E7A2-41F3-B651-D5E358B888C3}">
      <dsp:nvSpPr>
        <dsp:cNvPr id="0" name=""/>
        <dsp:cNvSpPr/>
      </dsp:nvSpPr>
      <dsp:spPr>
        <a:xfrm>
          <a:off x="411479" y="0"/>
          <a:ext cx="4663440" cy="2743200"/>
        </a:xfrm>
        <a:prstGeom prst="rightArrow">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B5F813E-36F6-4862-B370-B666A41B748E}">
      <dsp:nvSpPr>
        <dsp:cNvPr id="0" name=""/>
        <dsp:cNvSpPr/>
      </dsp:nvSpPr>
      <dsp:spPr>
        <a:xfrm>
          <a:off x="0" y="822960"/>
          <a:ext cx="1236373" cy="109728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Проведение 4 курса ПХТ</a:t>
          </a:r>
        </a:p>
      </dsp:txBody>
      <dsp:txXfrm>
        <a:off x="53565" y="876525"/>
        <a:ext cx="1129243" cy="990150"/>
      </dsp:txXfrm>
    </dsp:sp>
    <dsp:sp modelId="{B45ABA96-D204-4641-BCF9-2CD4853C882E}">
      <dsp:nvSpPr>
        <dsp:cNvPr id="0" name=""/>
        <dsp:cNvSpPr/>
      </dsp:nvSpPr>
      <dsp:spPr>
        <a:xfrm>
          <a:off x="1762724" y="822960"/>
          <a:ext cx="1261353" cy="109728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Клинико-гематологическая ремиссия</a:t>
          </a:r>
        </a:p>
      </dsp:txBody>
      <dsp:txXfrm>
        <a:off x="1816289" y="876525"/>
        <a:ext cx="1154223" cy="990150"/>
      </dsp:txXfrm>
    </dsp:sp>
    <dsp:sp modelId="{FAE32DE2-4099-4058-A0A7-EACE430D1E20}">
      <dsp:nvSpPr>
        <dsp:cNvPr id="0" name=""/>
        <dsp:cNvSpPr/>
      </dsp:nvSpPr>
      <dsp:spPr>
        <a:xfrm>
          <a:off x="3298397" y="822960"/>
          <a:ext cx="1935971" cy="109728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мобилизация (заготовка) достаточного количества </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CD34+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клеток (Г-КСФ 10 МЕ/кг). </a:t>
          </a:r>
        </a:p>
      </dsp:txBody>
      <dsp:txXfrm>
        <a:off x="3351962" y="876525"/>
        <a:ext cx="1828841" cy="990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1F546C-E7A2-41F3-B651-D5E358B888C3}">
      <dsp:nvSpPr>
        <dsp:cNvPr id="0" name=""/>
        <dsp:cNvSpPr/>
      </dsp:nvSpPr>
      <dsp:spPr>
        <a:xfrm>
          <a:off x="411479" y="0"/>
          <a:ext cx="4663440" cy="2781300"/>
        </a:xfrm>
        <a:prstGeom prst="rightArrow">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B5F813E-36F6-4862-B370-B666A41B748E}">
      <dsp:nvSpPr>
        <dsp:cNvPr id="0" name=""/>
        <dsp:cNvSpPr/>
      </dsp:nvSpPr>
      <dsp:spPr>
        <a:xfrm>
          <a:off x="3060" y="834390"/>
          <a:ext cx="1927646" cy="111252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Кондиционирование (мелфалан 100 мг/м</a:t>
          </a:r>
          <a:r>
            <a:rPr lang="ru-RU" sz="1400" kern="1200" baseline="30000">
              <a:solidFill>
                <a:sysClr val="windowText" lastClr="000000"/>
              </a:solidFill>
              <a:latin typeface="Times New Roman" panose="02020603050405020304" pitchFamily="18" charset="0"/>
              <a:ea typeface="+mn-ea"/>
              <a:cs typeface="Times New Roman" panose="02020603050405020304" pitchFamily="18" charset="0"/>
            </a:rPr>
            <a:t>2</a:t>
          </a:r>
          <a:r>
            <a:rPr lang="ru-RU" sz="1400" kern="1200" baseline="0">
              <a:solidFill>
                <a:sysClr val="windowText" lastClr="000000"/>
              </a:solidFill>
              <a:latin typeface="Times New Roman" panose="02020603050405020304" pitchFamily="18" charset="0"/>
              <a:ea typeface="+mn-ea"/>
              <a:cs typeface="Times New Roman" panose="02020603050405020304" pitchFamily="18" charset="0"/>
            </a:rPr>
            <a:t>)</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7369" y="888699"/>
        <a:ext cx="1819028" cy="1003902"/>
      </dsp:txXfrm>
    </dsp:sp>
    <dsp:sp modelId="{B45ABA96-D204-4641-BCF9-2CD4853C882E}">
      <dsp:nvSpPr>
        <dsp:cNvPr id="0" name=""/>
        <dsp:cNvSpPr/>
      </dsp:nvSpPr>
      <dsp:spPr>
        <a:xfrm>
          <a:off x="2156271" y="834390"/>
          <a:ext cx="1550751" cy="111252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аутоТГСК</a:t>
          </a:r>
        </a:p>
      </dsp:txBody>
      <dsp:txXfrm>
        <a:off x="2210580" y="888699"/>
        <a:ext cx="1442133" cy="1003902"/>
      </dsp:txXfrm>
    </dsp:sp>
    <dsp:sp modelId="{FAE32DE2-4099-4058-A0A7-EACE430D1E20}">
      <dsp:nvSpPr>
        <dsp:cNvPr id="0" name=""/>
        <dsp:cNvSpPr/>
      </dsp:nvSpPr>
      <dsp:spPr>
        <a:xfrm>
          <a:off x="3932587" y="834390"/>
          <a:ext cx="1550751" cy="111252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оценка эффективности аутоТГСК</a:t>
          </a:r>
        </a:p>
      </dsp:txBody>
      <dsp:txXfrm>
        <a:off x="3986896" y="888699"/>
        <a:ext cx="1442133" cy="100390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1383</TotalTime>
  <Pages>132</Pages>
  <Words>26654</Words>
  <Characters>151933</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Angel</cp:lastModifiedBy>
  <cp:revision>197</cp:revision>
  <dcterms:created xsi:type="dcterms:W3CDTF">2018-07-31T08:49:00Z</dcterms:created>
  <dcterms:modified xsi:type="dcterms:W3CDTF">2019-12-09T10:51:00Z</dcterms:modified>
</cp:coreProperties>
</file>